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r>
        <w:rPr>
          <w:rFonts w:hint="eastAsia"/>
          <w:sz w:val="36"/>
          <w:szCs w:val="36"/>
          <w:lang w:val="en-US" w:eastAsia="zh-CN"/>
        </w:rPr>
        <w:t>湛江市第一中医医院移动护理系统项目需求</w:t>
      </w:r>
    </w:p>
    <w:p>
      <w:pPr>
        <w:pStyle w:val="2"/>
        <w:keepNext/>
        <w:keepLines/>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cs="Times New Roman"/>
          <w:b w:val="0"/>
          <w:bCs w:val="0"/>
          <w:kern w:val="2"/>
          <w:sz w:val="24"/>
          <w:szCs w:val="22"/>
          <w:highlight w:val="none"/>
          <w:u w:val="none"/>
          <w:lang w:val="en-US" w:eastAsia="zh-CN" w:bidi="ar-SA"/>
        </w:rPr>
      </w:pPr>
    </w:p>
    <w:p>
      <w:pPr>
        <w:numPr>
          <w:ilvl w:val="0"/>
          <w:numId w:val="0"/>
        </w:numPr>
        <w:spacing w:line="360" w:lineRule="auto"/>
        <w:rPr>
          <w:rFonts w:hint="eastAsia" w:ascii="宋体" w:hAnsi="宋体"/>
        </w:rPr>
      </w:pPr>
      <w:r>
        <w:rPr>
          <w:rFonts w:hint="eastAsia" w:ascii="宋体" w:hAnsi="宋体"/>
          <w:lang w:val="en-US" w:eastAsia="zh-CN"/>
        </w:rPr>
        <w:t>一、</w:t>
      </w:r>
      <w:r>
        <w:rPr>
          <w:rFonts w:hint="eastAsia" w:ascii="宋体" w:hAnsi="宋体"/>
        </w:rPr>
        <w:t>项目名称</w:t>
      </w:r>
    </w:p>
    <w:p>
      <w:pPr>
        <w:numPr>
          <w:ilvl w:val="0"/>
          <w:numId w:val="0"/>
        </w:numPr>
        <w:spacing w:line="360" w:lineRule="auto"/>
        <w:ind w:firstLine="420" w:firstLineChars="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湛江市第一中医医院移动护理系统项目</w:t>
      </w:r>
    </w:p>
    <w:p>
      <w:pPr>
        <w:numPr>
          <w:ilvl w:val="0"/>
          <w:numId w:val="0"/>
        </w:numPr>
        <w:spacing w:line="360" w:lineRule="auto"/>
        <w:rPr>
          <w:rFonts w:hint="eastAsia" w:ascii="宋体" w:hAnsi="宋体"/>
          <w:highlight w:val="none"/>
          <w:u w:val="none"/>
          <w:lang w:val="en-US" w:eastAsia="zh-CN"/>
        </w:rPr>
      </w:pPr>
      <w:r>
        <w:rPr>
          <w:rFonts w:hint="eastAsia" w:ascii="宋体" w:hAnsi="宋体"/>
          <w:highlight w:val="none"/>
          <w:u w:val="none"/>
          <w:lang w:val="en-US" w:eastAsia="zh-CN"/>
        </w:rPr>
        <w:t>二、预算金额</w:t>
      </w:r>
    </w:p>
    <w:p>
      <w:pPr>
        <w:numPr>
          <w:ilvl w:val="0"/>
          <w:numId w:val="0"/>
        </w:numPr>
        <w:spacing w:line="360" w:lineRule="auto"/>
        <w:ind w:firstLine="420" w:firstLineChars="0"/>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160万元。</w:t>
      </w:r>
    </w:p>
    <w:p>
      <w:pPr>
        <w:pStyle w:val="2"/>
        <w:keepNext/>
        <w:keepLines/>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Times New Roman"/>
          <w:b w:val="0"/>
          <w:bCs w:val="0"/>
          <w:kern w:val="2"/>
          <w:sz w:val="24"/>
          <w:szCs w:val="22"/>
          <w:highlight w:val="none"/>
          <w:u w:val="none"/>
          <w:lang w:val="en-US" w:eastAsia="zh-CN" w:bidi="ar-SA"/>
        </w:rPr>
      </w:pPr>
      <w:r>
        <w:rPr>
          <w:rFonts w:hint="eastAsia" w:cs="Times New Roman"/>
          <w:b w:val="0"/>
          <w:bCs w:val="0"/>
          <w:kern w:val="2"/>
          <w:sz w:val="24"/>
          <w:szCs w:val="22"/>
          <w:highlight w:val="none"/>
          <w:u w:val="none"/>
          <w:lang w:val="en-US" w:eastAsia="zh-CN" w:bidi="ar-SA"/>
        </w:rPr>
        <w:t>三</w:t>
      </w:r>
      <w:r>
        <w:rPr>
          <w:rFonts w:hint="eastAsia" w:ascii="宋体" w:hAnsi="宋体" w:eastAsia="宋体" w:cs="Times New Roman"/>
          <w:b w:val="0"/>
          <w:bCs w:val="0"/>
          <w:kern w:val="2"/>
          <w:sz w:val="24"/>
          <w:szCs w:val="22"/>
          <w:highlight w:val="none"/>
          <w:u w:val="none"/>
          <w:lang w:val="en-US" w:eastAsia="zh-CN" w:bidi="ar-SA"/>
        </w:rPr>
        <w:t>、项目内容一览表</w:t>
      </w:r>
    </w:p>
    <w:tbl>
      <w:tblPr>
        <w:tblStyle w:val="3"/>
        <w:tblW w:w="830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68"/>
        <w:gridCol w:w="2999"/>
        <w:gridCol w:w="1299"/>
        <w:gridCol w:w="1699"/>
        <w:gridCol w:w="1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12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699"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功能配置要求</w:t>
            </w:r>
          </w:p>
        </w:tc>
        <w:tc>
          <w:tcPr>
            <w:tcW w:w="123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服务年限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移动护理系统</w:t>
            </w:r>
          </w:p>
        </w:tc>
        <w:tc>
          <w:tcPr>
            <w:tcW w:w="12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1套</w:t>
            </w:r>
          </w:p>
        </w:tc>
        <w:tc>
          <w:tcPr>
            <w:tcW w:w="1699" w:type="dxa"/>
            <w:vMerge w:val="restart"/>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详见“项目技术指标”部分</w:t>
            </w:r>
          </w:p>
        </w:tc>
        <w:tc>
          <w:tcPr>
            <w:tcW w:w="1237" w:type="dxa"/>
            <w:vMerge w:val="restart"/>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36个月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系统集成服务</w:t>
            </w:r>
          </w:p>
        </w:tc>
        <w:tc>
          <w:tcPr>
            <w:tcW w:w="12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1套</w:t>
            </w:r>
          </w:p>
        </w:tc>
        <w:tc>
          <w:tcPr>
            <w:tcW w:w="1699"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4"/>
                <w:szCs w:val="24"/>
                <w:u w:val="none"/>
              </w:rPr>
            </w:pPr>
          </w:p>
        </w:tc>
        <w:tc>
          <w:tcPr>
            <w:tcW w:w="1237"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手持终端PDA</w:t>
            </w:r>
          </w:p>
        </w:tc>
        <w:tc>
          <w:tcPr>
            <w:tcW w:w="12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150台</w:t>
            </w:r>
          </w:p>
        </w:tc>
        <w:tc>
          <w:tcPr>
            <w:tcW w:w="1699"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4"/>
                <w:szCs w:val="24"/>
                <w:u w:val="none"/>
              </w:rPr>
            </w:pPr>
          </w:p>
        </w:tc>
        <w:tc>
          <w:tcPr>
            <w:tcW w:w="1237"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服务器</w:t>
            </w:r>
          </w:p>
        </w:tc>
        <w:tc>
          <w:tcPr>
            <w:tcW w:w="12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2台</w:t>
            </w:r>
          </w:p>
        </w:tc>
        <w:tc>
          <w:tcPr>
            <w:tcW w:w="1699"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4"/>
                <w:szCs w:val="24"/>
                <w:u w:val="none"/>
              </w:rPr>
            </w:pPr>
          </w:p>
        </w:tc>
        <w:tc>
          <w:tcPr>
            <w:tcW w:w="1237"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VPDN</w:t>
            </w:r>
            <w:r>
              <w:rPr>
                <w:rFonts w:hint="eastAsia" w:ascii="宋体" w:hAnsi="宋体" w:eastAsia="宋体" w:cs="宋体"/>
                <w:i w:val="0"/>
                <w:iCs w:val="0"/>
                <w:color w:val="000000"/>
                <w:kern w:val="0"/>
                <w:sz w:val="24"/>
                <w:szCs w:val="24"/>
                <w:u w:val="none"/>
                <w:lang w:val="en-US" w:eastAsia="zh-CN" w:bidi="ar"/>
              </w:rPr>
              <w:t>数据专线</w:t>
            </w:r>
          </w:p>
        </w:tc>
        <w:tc>
          <w:tcPr>
            <w:tcW w:w="12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1条</w:t>
            </w:r>
          </w:p>
        </w:tc>
        <w:tc>
          <w:tcPr>
            <w:tcW w:w="1699"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4"/>
                <w:szCs w:val="24"/>
                <w:u w:val="none"/>
              </w:rPr>
            </w:pPr>
          </w:p>
        </w:tc>
        <w:tc>
          <w:tcPr>
            <w:tcW w:w="1237"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9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终端流量卡</w:t>
            </w:r>
          </w:p>
        </w:tc>
        <w:tc>
          <w:tcPr>
            <w:tcW w:w="12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150张</w:t>
            </w:r>
          </w:p>
        </w:tc>
        <w:tc>
          <w:tcPr>
            <w:tcW w:w="1699"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4"/>
                <w:szCs w:val="24"/>
                <w:u w:val="none"/>
              </w:rPr>
            </w:pPr>
          </w:p>
        </w:tc>
        <w:tc>
          <w:tcPr>
            <w:tcW w:w="1237"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bl>
    <w:p>
      <w:pPr>
        <w:numPr>
          <w:ilvl w:val="0"/>
          <w:numId w:val="0"/>
        </w:numPr>
        <w:spacing w:line="360" w:lineRule="auto"/>
        <w:ind w:firstLine="480"/>
        <w:rPr>
          <w:rFonts w:hint="default" w:ascii="宋体" w:hAnsi="宋体" w:eastAsia="宋体" w:cs="宋体"/>
          <w:color w:val="000000"/>
          <w:kern w:val="0"/>
          <w:sz w:val="21"/>
          <w:szCs w:val="21"/>
          <w:lang w:val="en-US" w:eastAsia="zh-CN" w:bidi="ar"/>
        </w:rPr>
      </w:pPr>
    </w:p>
    <w:p>
      <w:pPr>
        <w:numPr>
          <w:ilvl w:val="0"/>
          <w:numId w:val="0"/>
        </w:numPr>
        <w:spacing w:line="360" w:lineRule="auto"/>
        <w:rPr>
          <w:rFonts w:hint="eastAsia" w:ascii="宋体" w:hAnsi="宋体"/>
          <w:b w:val="0"/>
          <w:bCs w:val="0"/>
          <w:highlight w:val="none"/>
          <w:u w:val="none"/>
          <w:lang w:val="en-US" w:eastAsia="zh-CN"/>
        </w:rPr>
      </w:pPr>
      <w:r>
        <w:rPr>
          <w:rFonts w:hint="eastAsia" w:ascii="宋体" w:hAnsi="宋体"/>
          <w:b w:val="0"/>
          <w:bCs w:val="0"/>
          <w:highlight w:val="none"/>
          <w:u w:val="none"/>
          <w:lang w:val="en-US" w:eastAsia="zh-CN"/>
        </w:rPr>
        <w:t xml:space="preserve">四、项目技术指标  </w:t>
      </w:r>
    </w:p>
    <w:p>
      <w:pPr>
        <w:numPr>
          <w:ilvl w:val="0"/>
          <w:numId w:val="0"/>
        </w:numPr>
        <w:spacing w:line="360" w:lineRule="auto"/>
        <w:rPr>
          <w:rFonts w:hint="default" w:ascii="宋体" w:hAnsi="宋体"/>
          <w:highlight w:val="none"/>
          <w:u w:val="none"/>
          <w:lang w:val="en-US" w:eastAsia="zh-CN"/>
        </w:rPr>
      </w:pPr>
      <w:r>
        <w:rPr>
          <w:rFonts w:hint="eastAsia" w:ascii="宋体" w:hAnsi="宋体"/>
          <w:highlight w:val="none"/>
          <w:u w:val="none"/>
          <w:lang w:val="en-US" w:eastAsia="zh-CN"/>
        </w:rPr>
        <w:t xml:space="preserve">(一)系统功能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1、床位管理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支持病区床位使用情况信息查看；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支持在床</w:t>
      </w:r>
      <w:r>
        <w:rPr>
          <w:rFonts w:hint="eastAsia" w:ascii="宋体" w:hAnsi="宋体" w:eastAsia="宋体" w:cs="宋体"/>
          <w:b w:val="0"/>
          <w:bCs w:val="0"/>
          <w:color w:val="000000"/>
          <w:kern w:val="0"/>
          <w:sz w:val="21"/>
          <w:szCs w:val="21"/>
          <w:lang w:val="en-US" w:eastAsia="zh-CN" w:bidi="ar"/>
        </w:rPr>
        <w:t>患者相关信息查</w:t>
      </w:r>
      <w:r>
        <w:rPr>
          <w:rFonts w:hint="eastAsia" w:ascii="宋体" w:hAnsi="宋体" w:eastAsia="宋体" w:cs="宋体"/>
          <w:color w:val="000000"/>
          <w:kern w:val="0"/>
          <w:sz w:val="21"/>
          <w:szCs w:val="21"/>
          <w:lang w:val="en-US" w:eastAsia="zh-CN" w:bidi="ar"/>
        </w:rPr>
        <w:t xml:space="preserve">看，包括患者的护理等级、输液状态、新入院、待出院、待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手术、危重患者、新医嘱待执行通知等；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支持患者分组管理，按责任护士分组定义显示；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支持自定义分组显示。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2、患者信息概览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支持患者基本信息查看：包括但不限于床号、住院号、姓名、性别、出生日期、年龄、联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系电话、家庭住址、联系人和联系方式；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支持不同颜色等标识不同状态的病人，如欠费、特级护理、危重、重点关注病人等功能；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支持在院患者和出院患者查询，出院患者查询其随访情况和病历归档情况。</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3、医嘱管理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医嘱查询：支持分类显示医嘱，护士处理医嘱时应明确区分审核医嘱和执行医嘱，支持按照医嘱类型、医嘱执行状态等方式查询医嘱信息；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医嘱展示：支持按照护士的不同执行分类进行分类展示的功能；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医嘱记录：支持按医嘱分类调出医嘱执行记录和巡视信息、记录医嘱每次执行情况，登记耗材消耗记录，追踪消毒包，通过腕带和项目条码进行核对，记录执行时间及操作人，并根据要求形成收费信息；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医嘱执行：护士通过移动数字设备扫描患者腕带进行患者医嘱信息查询，并将选择的医嘱保存为已执行状态，扫描口服药品、补液、输血等医嘱条码，可以自动核对病人和药品信息，如不符合给出提示；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补录医嘱：支持护士在操作完成医嘱执行状态变更操作后，通过补录医嘱操作，修改医嘱的备入量及实入量；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医嘱智能筛选：支持医嘱智能筛选操作，可针对医生开立的长期医嘱、临时医嘱、嘱托医嘱进行智能筛选，同时针对不同的医嘱支持已执行、未执行状态筛选功能。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4、医技报告阅览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检验、检查报告查看：支持医生通过移动数字设备浏览和查询病人检验、检查报告。 报告应完整显示患者基本信息、检验、检查项目结果信息；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支持结果图形展示、对比功能；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支持检查图形展示、对比功能。</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5、患者身份识别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支持护士通过移动数字设备扫描患者腕带，进行患者身份信息查询及核对识别；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支持一维或二维等多种形式的编码。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6、体征采集记录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体温测量数据录入：支持护士进行患者床旁体温测量结果的数据录入，并支持已录入的多次体温测量结果曲线显示；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脉搏测量数据录入：支持护士进行患者床旁脉搏测量结果的数据录入，并支持已录入的多次脉搏测量结果曲线显示；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呼吸测量结果数据录入：支持护士进行患者床旁呼吸测量结果的数据录入，并支持已录入的多次呼吸测量结果曲线显示；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血压测量结果录入：支持护士进行患者床旁血压测量结果的数据录入，并支持已录入的多次血压测量结果曲线显示；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药物过敏试验结果录入：支持护士进行患者药物过敏测试结果录入，并支持历史药物过敏历史试验结果查看；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支持生命体征批量录入；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支持自定义项目数据的录入和校验规则。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7、护士评估管理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入院评估：支持护士对入院患者进行入院评估并完成评估信息录入；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指数评估：支持护士对患者的日常生活能力指数进行评估，支持智能、自动化评分；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风险评估：支持护士对在院患者进行风险评估操作，并完成评估信息录入；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其它评估：支持自定义评估表格和相关信息的录入。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8、护理病历记录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护理记录单：支持护理记录单信息录入；支持通过模板定制不同表格记录格式；支持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通过动态项实现不同患者检查内容项不同的要求；支持记录中对于特殊项目的格式化显示；支持快捷输入多条数据；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护理文书：支持护理文书信息录入；支持按照医院实际业务定制个性化的文书模板；支持通过选择、勾选、自由输入等方式填写文书内容；能够对文书权限进行控制；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护理报告：支持护理报告信息录入；支持定制护理不良事件的模板格式；支持对事件记录做</w:t>
      </w:r>
      <w:bookmarkStart w:id="0" w:name="_GoBack"/>
      <w:bookmarkEnd w:id="0"/>
      <w:r>
        <w:rPr>
          <w:rFonts w:hint="eastAsia" w:ascii="宋体" w:hAnsi="宋体" w:eastAsia="宋体" w:cs="宋体"/>
          <w:color w:val="000000"/>
          <w:kern w:val="0"/>
          <w:sz w:val="21"/>
          <w:szCs w:val="21"/>
          <w:lang w:val="en-US" w:eastAsia="zh-CN" w:bidi="ar"/>
        </w:rPr>
        <w:t xml:space="preserve">持续跟踪；支持对事件过程进行签名权限控制；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体温单：支持体温单自动生成，并支持多样式显示；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支持护理的专科评估、护理交接单、护理交班记录、中医疗效评价表的书写。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9、护理计划管理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护理计划模块管理：支持依据护理评估、护理等级和护理规范生成护理计划模版，护理计划模版支持调整和修改；支持根据权限生成维护科室、患者类型及护士三级护理计划模版。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护理计划管理：支持护理计划模版生成各患者的护理计划，支持护士查询、修改和调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整护理计划；支持自动提醒计划执行和执行确认；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支持各种专科的知识库管理功能；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能够根据病人病情自动生成护理计划。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lang w:val="en-US" w:eastAsia="zh-CN" w:bidi="ar"/>
        </w:rPr>
        <w:t xml:space="preserve">10、移动输液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支持通过扫描患者条码或输入患者病历号查阅患者基本信息及输液医嘱信息，同时进行信息核对。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支持输液座位状态显示。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支持输液患者座位安排。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支持排药医师通过扫描条码来进行排药操作；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支持执行撤销、不一致退回等操作。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支持通过输液医嘱查询实现输液药品校对操作。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支持输液配药流程确认。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支持输液配药审核流程确认操作，并自动记录配药审核时间、审核人信息。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支持配药交接流程，记录交接时间、交接人信息。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支持输液单查询及校对。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支持输液巡视卡信息录入。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rPr>
      </w:pPr>
      <w:r>
        <w:rPr>
          <w:rFonts w:hint="eastAsia" w:ascii="宋体" w:hAnsi="宋体" w:eastAsia="宋体" w:cs="宋体"/>
          <w:b w:val="0"/>
          <w:bCs w:val="0"/>
          <w:color w:val="000000"/>
          <w:kern w:val="0"/>
          <w:sz w:val="21"/>
          <w:szCs w:val="21"/>
          <w:lang w:val="en-US" w:eastAsia="zh-CN" w:bidi="ar"/>
        </w:rPr>
        <w:t>11、消息提醒</w:t>
      </w:r>
      <w:r>
        <w:rPr>
          <w:rFonts w:hint="eastAsia" w:ascii="宋体" w:hAnsi="宋体" w:eastAsia="宋体" w:cs="宋体"/>
          <w:b/>
          <w:bCs/>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支持患者信息和医嘱条码信息扫描后自动核对；生命体征信息提醒：支持主动推送患者生命体征异常信息，提醒责任护士及时、快速的进行护理干预；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支持生命体征待测提醒，自动提醒护士测量时机；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支持护士工作清单，提醒护士处理；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临时紧急医嘱信息提醒：支持主动推送临时紧急医嘱信息，提醒责任护士及时、快速的进行医嘱执行；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特殊医嘱提醒：支持未执行医嘱、高危医嘱、超时未执行医嘱的提醒；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检查检验危机值信息提醒：支持主动推送患者检查检验危机值信息，提醒责任护士及时、快速的进行护理干预；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支持自定义危急信息管理和提醒。 </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color w:val="000000"/>
          <w:kern w:val="0"/>
          <w:sz w:val="21"/>
          <w:szCs w:val="21"/>
          <w:lang w:val="en-US" w:eastAsia="zh-CN" w:bidi="ar"/>
        </w:rPr>
      </w:pPr>
      <w:r>
        <w:rPr>
          <w:rFonts w:hint="eastAsia" w:ascii="宋体" w:hAnsi="宋体" w:cs="宋体"/>
          <w:b w:val="0"/>
          <w:bCs w:val="0"/>
          <w:color w:val="000000"/>
          <w:kern w:val="0"/>
          <w:sz w:val="21"/>
          <w:szCs w:val="21"/>
          <w:lang w:val="en-US" w:eastAsia="zh-CN" w:bidi="ar"/>
        </w:rPr>
        <w:t>数据统计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支持各类自定义</w:t>
      </w:r>
      <w:r>
        <w:rPr>
          <w:rFonts w:hint="eastAsia" w:ascii="宋体" w:hAnsi="宋体" w:cs="宋体"/>
          <w:color w:val="000000"/>
          <w:kern w:val="0"/>
          <w:sz w:val="21"/>
          <w:szCs w:val="21"/>
          <w:lang w:val="en-US" w:eastAsia="zh-CN" w:bidi="ar"/>
        </w:rPr>
        <w:t>需求</w:t>
      </w:r>
      <w:r>
        <w:rPr>
          <w:rFonts w:hint="eastAsia" w:ascii="宋体" w:hAnsi="宋体" w:eastAsia="宋体" w:cs="宋体"/>
          <w:color w:val="000000"/>
          <w:kern w:val="0"/>
          <w:sz w:val="21"/>
          <w:szCs w:val="21"/>
          <w:lang w:val="en-US" w:eastAsia="zh-CN" w:bidi="ar"/>
        </w:rPr>
        <w:t>数据统计。</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cs="宋体"/>
          <w:b w:val="0"/>
          <w:bCs w:val="0"/>
          <w:color w:val="000000"/>
          <w:kern w:val="0"/>
          <w:sz w:val="21"/>
          <w:szCs w:val="21"/>
          <w:lang w:val="en-US" w:eastAsia="zh-CN" w:bidi="ar"/>
        </w:rPr>
        <w:t>13、</w:t>
      </w:r>
      <w:r>
        <w:rPr>
          <w:rFonts w:hint="eastAsia" w:ascii="宋体" w:hAnsi="宋体" w:eastAsia="宋体" w:cs="宋体"/>
          <w:b w:val="0"/>
          <w:bCs w:val="0"/>
          <w:color w:val="000000"/>
          <w:kern w:val="0"/>
          <w:sz w:val="21"/>
          <w:szCs w:val="21"/>
          <w:lang w:val="en-US" w:eastAsia="zh-CN" w:bidi="ar"/>
        </w:rPr>
        <w:t>系统集成服务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免费完成与医院信息系统HIS、检验系统LIS、影像系统PACS、信息平台、手麻系统、重症监护系统、不良事件系统等的对接；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免费完成迁移既往移动护理历史数据；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移动护理系统功能要求支持电脑端PC、手持终端PDA、平板PAD、护理交互大屏、移动推车等终端</w:t>
      </w:r>
      <w:r>
        <w:rPr>
          <w:rFonts w:hint="eastAsia" w:ascii="宋体" w:hAnsi="宋体" w:cs="宋体"/>
          <w:color w:val="000000"/>
          <w:kern w:val="0"/>
          <w:sz w:val="21"/>
          <w:szCs w:val="21"/>
          <w:lang w:val="en-US" w:eastAsia="zh-CN" w:bidi="ar"/>
        </w:rPr>
        <w:t>适配</w:t>
      </w:r>
      <w:r>
        <w:rPr>
          <w:rFonts w:hint="eastAsia" w:ascii="宋体" w:hAnsi="宋体" w:eastAsia="宋体" w:cs="宋体"/>
          <w:color w:val="000000"/>
          <w:kern w:val="0"/>
          <w:sz w:val="21"/>
          <w:szCs w:val="21"/>
          <w:lang w:val="en-US" w:eastAsia="zh-CN" w:bidi="ar"/>
        </w:rPr>
        <w:t>显示和操作，各终端数据实时同步；</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手持终端PDA、平板PAD支持二维码、条形码、识别码等扫描识别，自动获取显示相关数据；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系统支持各种患者腕带打印，包括儿童腕带及成人腕带，也包括普通腕带与过敏腕带等。</w:t>
      </w:r>
    </w:p>
    <w:p>
      <w:pPr>
        <w:keepNext w:val="0"/>
        <w:keepLines w:val="0"/>
        <w:widowControl/>
        <w:suppressLineNumbers w:val="0"/>
        <w:ind w:firstLine="420" w:firstLineChars="0"/>
        <w:jc w:val="left"/>
        <w:rPr>
          <w:rFonts w:hint="default" w:ascii="宋体" w:hAnsi="宋体" w:eastAsia="宋体" w:cs="宋体"/>
          <w:color w:val="000000"/>
          <w:kern w:val="0"/>
          <w:sz w:val="21"/>
          <w:szCs w:val="21"/>
          <w:lang w:val="en-US" w:eastAsia="zh-CN" w:bidi="ar"/>
        </w:rPr>
      </w:pPr>
    </w:p>
    <w:p>
      <w:pPr>
        <w:keepNext w:val="0"/>
        <w:keepLines w:val="0"/>
        <w:widowControl/>
        <w:numPr>
          <w:ilvl w:val="0"/>
          <w:numId w:val="3"/>
        </w:numPr>
        <w:suppressLineNumbers w:val="0"/>
        <w:jc w:val="left"/>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硬件配套</w:t>
      </w:r>
    </w:p>
    <w:p>
      <w:pPr>
        <w:keepNext w:val="0"/>
        <w:keepLines w:val="0"/>
        <w:widowControl/>
        <w:numPr>
          <w:ilvl w:val="0"/>
          <w:numId w:val="0"/>
        </w:numPr>
        <w:suppressLineNumbers w:val="0"/>
        <w:ind w:firstLine="420" w:firstLineChars="200"/>
        <w:jc w:val="left"/>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1、手持终端PDA</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960" w:firstLineChars="0"/>
        <w:jc w:val="left"/>
        <w:textAlignment w:val="auto"/>
        <w:rPr>
          <w:rFonts w:hint="eastAsia" w:ascii="宋体" w:hAnsi="宋体" w:eastAsia="宋体" w:cs="宋体"/>
          <w:color w:val="000000"/>
          <w:kern w:val="0"/>
          <w:sz w:val="21"/>
          <w:szCs w:val="21"/>
          <w:lang w:val="en-US" w:eastAsia="zh-CN" w:bidi="ar"/>
        </w:rPr>
      </w:pPr>
      <w:r>
        <w:rPr>
          <w:rFonts w:hint="default" w:ascii="宋体"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8核2.0Hz CPU；</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960" w:firstLineChars="0"/>
        <w:jc w:val="left"/>
        <w:textAlignment w:val="auto"/>
        <w:rPr>
          <w:rFonts w:hint="eastAsia" w:ascii="宋体" w:hAnsi="宋体" w:eastAsia="宋体" w:cs="宋体"/>
          <w:color w:val="000000"/>
          <w:kern w:val="0"/>
          <w:sz w:val="21"/>
          <w:szCs w:val="21"/>
          <w:lang w:val="en-US" w:eastAsia="zh-CN" w:bidi="ar"/>
        </w:rPr>
      </w:pPr>
      <w:r>
        <w:rPr>
          <w:rFonts w:hint="default" w:ascii="宋体"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4GB内存；</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960" w:firstLineChars="0"/>
        <w:jc w:val="left"/>
        <w:textAlignment w:val="auto"/>
        <w:rPr>
          <w:rFonts w:hint="eastAsia" w:ascii="宋体" w:hAnsi="宋体" w:eastAsia="宋体" w:cs="宋体"/>
          <w:color w:val="000000"/>
          <w:kern w:val="0"/>
          <w:sz w:val="21"/>
          <w:szCs w:val="21"/>
          <w:lang w:val="en-US" w:eastAsia="zh-CN" w:bidi="ar"/>
        </w:rPr>
      </w:pPr>
      <w:r>
        <w:rPr>
          <w:rFonts w:hint="default" w:ascii="宋体"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64GB存储；</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960" w:firstLineChars="0"/>
        <w:jc w:val="left"/>
        <w:textAlignment w:val="auto"/>
        <w:rPr>
          <w:rFonts w:hint="eastAsia" w:ascii="宋体" w:hAnsi="宋体" w:eastAsia="宋体" w:cs="宋体"/>
          <w:color w:val="000000"/>
          <w:kern w:val="0"/>
          <w:sz w:val="21"/>
          <w:szCs w:val="21"/>
          <w:lang w:val="en-US" w:eastAsia="zh-CN" w:bidi="ar"/>
        </w:rPr>
      </w:pPr>
      <w:r>
        <w:rPr>
          <w:rFonts w:hint="default" w:ascii="宋体"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5.7寸屏多点触控电容屏，分辨率≥1440*720；</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960" w:firstLineChars="0"/>
        <w:jc w:val="left"/>
        <w:textAlignment w:val="auto"/>
        <w:rPr>
          <w:rFonts w:hint="default" w:ascii="宋体" w:hAnsi="宋体" w:eastAsia="宋体" w:cs="宋体"/>
          <w:color w:val="000000"/>
          <w:kern w:val="0"/>
          <w:sz w:val="21"/>
          <w:szCs w:val="21"/>
          <w:lang w:val="en-US" w:eastAsia="zh-CN" w:bidi="ar"/>
        </w:rPr>
      </w:pPr>
      <w:r>
        <w:rPr>
          <w:rFonts w:hint="default" w:ascii="宋体"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5000 maH电池</w:t>
      </w:r>
      <w:r>
        <w:rPr>
          <w:rFonts w:hint="eastAsia" w:ascii="宋体" w:hAnsi="宋体" w:cs="宋体"/>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960" w:firstLineChars="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支持WIFI，支持全系列标配联通、电信，移动5G/4G/3G/2G全网通，</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960" w:firstLineChars="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支持Android 10.0或以上、鸿蒙4.0或上线操作系统；</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960" w:firstLineChars="0"/>
        <w:jc w:val="left"/>
        <w:textAlignment w:val="auto"/>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支持USB Type-C 2.0 OTG；</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960" w:firstLineChars="0"/>
        <w:jc w:val="left"/>
        <w:textAlignment w:val="auto"/>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至少提供三年免费</w:t>
      </w:r>
      <w:r>
        <w:rPr>
          <w:rFonts w:hint="eastAsia" w:ascii="宋体" w:hAnsi="宋体" w:cs="宋体"/>
          <w:color w:val="000000"/>
          <w:kern w:val="0"/>
          <w:sz w:val="21"/>
          <w:szCs w:val="21"/>
          <w:lang w:val="en-US" w:eastAsia="zh-CN" w:bidi="ar"/>
        </w:rPr>
        <w:t>更换</w:t>
      </w:r>
      <w:r>
        <w:rPr>
          <w:rFonts w:hint="eastAsia" w:ascii="宋体" w:hAnsi="宋体" w:eastAsia="宋体" w:cs="宋体"/>
          <w:color w:val="000000"/>
          <w:kern w:val="0"/>
          <w:sz w:val="21"/>
          <w:szCs w:val="21"/>
          <w:lang w:val="en-US" w:eastAsia="zh-CN" w:bidi="ar"/>
        </w:rPr>
        <w:t>售后。</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服务器</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960" w:firstLineChars="0"/>
        <w:jc w:val="left"/>
        <w:textAlignment w:val="auto"/>
        <w:rPr>
          <w:rFonts w:hint="default" w:ascii="宋体" w:hAnsi="宋体" w:eastAsia="宋体" w:cs="宋体"/>
          <w:color w:val="000000"/>
          <w:kern w:val="0"/>
          <w:sz w:val="21"/>
          <w:szCs w:val="21"/>
          <w:lang w:val="en-US" w:eastAsia="zh-CN" w:bidi="ar"/>
        </w:rPr>
      </w:pPr>
      <w:r>
        <w:rPr>
          <w:rFonts w:hint="default" w:ascii="宋体" w:hAnsi="宋体" w:eastAsia="宋体" w:cs="宋体"/>
          <w:color w:val="000000"/>
          <w:kern w:val="0"/>
          <w:sz w:val="21"/>
          <w:szCs w:val="21"/>
          <w:lang w:val="en-US" w:eastAsia="zh-CN" w:bidi="ar"/>
        </w:rPr>
        <w:t>≥2U机架式。</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960" w:firstLineChars="0"/>
        <w:jc w:val="left"/>
        <w:textAlignment w:val="auto"/>
        <w:rPr>
          <w:rFonts w:hint="default" w:ascii="宋体" w:hAnsi="宋体" w:eastAsia="宋体" w:cs="宋体"/>
          <w:color w:val="000000"/>
          <w:kern w:val="0"/>
          <w:sz w:val="21"/>
          <w:szCs w:val="21"/>
          <w:lang w:val="en-US" w:eastAsia="zh-CN" w:bidi="ar"/>
        </w:rPr>
      </w:pPr>
      <w:r>
        <w:rPr>
          <w:rFonts w:hint="default" w:ascii="宋体"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2</w:t>
      </w:r>
      <w:r>
        <w:rPr>
          <w:rFonts w:hint="default" w:ascii="宋体" w:hAnsi="宋体" w:eastAsia="宋体" w:cs="宋体"/>
          <w:color w:val="000000"/>
          <w:kern w:val="0"/>
          <w:sz w:val="21"/>
          <w:szCs w:val="21"/>
          <w:lang w:val="en-US" w:eastAsia="zh-CN" w:bidi="ar"/>
        </w:rPr>
        <w:t>颗处理器</w:t>
      </w:r>
      <w:r>
        <w:rPr>
          <w:rFonts w:hint="eastAsia" w:ascii="宋体" w:hAnsi="宋体" w:eastAsia="宋体" w:cs="宋体"/>
          <w:color w:val="000000"/>
          <w:kern w:val="0"/>
          <w:sz w:val="21"/>
          <w:szCs w:val="21"/>
          <w:lang w:val="en-US" w:eastAsia="zh-CN" w:bidi="ar"/>
        </w:rPr>
        <w:t>，</w:t>
      </w:r>
      <w:r>
        <w:rPr>
          <w:rFonts w:hint="default" w:ascii="宋体" w:hAnsi="宋体" w:eastAsia="宋体" w:cs="宋体"/>
          <w:color w:val="000000"/>
          <w:kern w:val="0"/>
          <w:sz w:val="21"/>
          <w:szCs w:val="21"/>
          <w:lang w:val="en-US" w:eastAsia="zh-CN" w:bidi="ar"/>
        </w:rPr>
        <w:t>主频不低于2.3GHz，</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960" w:firstLineChars="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≥128GB </w:t>
      </w:r>
      <w:r>
        <w:rPr>
          <w:rFonts w:hint="default" w:ascii="宋体" w:hAnsi="宋体" w:eastAsia="宋体" w:cs="宋体"/>
          <w:color w:val="000000"/>
          <w:kern w:val="0"/>
          <w:sz w:val="21"/>
          <w:szCs w:val="21"/>
          <w:lang w:val="en-US" w:eastAsia="zh-CN" w:bidi="ar"/>
        </w:rPr>
        <w:t>2933内存</w:t>
      </w:r>
      <w:r>
        <w:rPr>
          <w:rFonts w:hint="eastAsia" w:ascii="宋体" w:hAnsi="宋体" w:eastAsia="宋体" w:cs="宋体"/>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960" w:firstLineChars="0"/>
        <w:jc w:val="left"/>
        <w:textAlignment w:val="auto"/>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》3*1.2T硬件，</w:t>
      </w:r>
      <w:r>
        <w:rPr>
          <w:rFonts w:hint="default" w:ascii="宋体" w:hAnsi="宋体" w:eastAsia="宋体" w:cs="宋体"/>
          <w:color w:val="000000"/>
          <w:kern w:val="0"/>
          <w:sz w:val="21"/>
          <w:szCs w:val="21"/>
          <w:lang w:val="en-US" w:eastAsia="zh-CN" w:bidi="ar"/>
        </w:rPr>
        <w:t>支持2.5"热插拔SAS/SATA/SSD/NVMe硬盘。</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960" w:firstLineChars="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≥1个阵列卡，配置12Gbps SAS磁盘阵列控制器，支持Raid0/1/10/5/50/6/60。</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960" w:firstLineChars="0"/>
        <w:jc w:val="left"/>
        <w:textAlignment w:val="auto"/>
        <w:rPr>
          <w:rFonts w:hint="default" w:ascii="宋体" w:hAnsi="宋体" w:eastAsia="宋体" w:cs="宋体"/>
          <w:color w:val="000000"/>
          <w:kern w:val="0"/>
          <w:sz w:val="21"/>
          <w:szCs w:val="21"/>
          <w:lang w:val="en-US" w:eastAsia="zh-CN" w:bidi="ar"/>
        </w:rPr>
      </w:pPr>
      <w:r>
        <w:rPr>
          <w:rFonts w:hint="default" w:ascii="宋体" w:hAnsi="宋体" w:eastAsia="宋体" w:cs="宋体"/>
          <w:color w:val="000000"/>
          <w:kern w:val="0"/>
          <w:sz w:val="21"/>
          <w:szCs w:val="21"/>
          <w:lang w:val="en-US" w:eastAsia="zh-CN" w:bidi="ar"/>
        </w:rPr>
        <w:t>支持 Unix、Linux、Windows server2012</w:t>
      </w:r>
      <w:r>
        <w:rPr>
          <w:rFonts w:hint="eastAsia" w:ascii="宋体" w:hAnsi="宋体" w:cs="宋体"/>
          <w:color w:val="000000"/>
          <w:kern w:val="0"/>
          <w:sz w:val="21"/>
          <w:szCs w:val="21"/>
          <w:lang w:val="en-US" w:eastAsia="zh-CN" w:bidi="ar"/>
        </w:rPr>
        <w:t>以上、国产</w:t>
      </w:r>
      <w:r>
        <w:rPr>
          <w:rFonts w:hint="default" w:ascii="宋体" w:hAnsi="宋体" w:eastAsia="宋体" w:cs="宋体"/>
          <w:color w:val="000000"/>
          <w:kern w:val="0"/>
          <w:sz w:val="21"/>
          <w:szCs w:val="21"/>
          <w:lang w:val="en-US" w:eastAsia="zh-CN" w:bidi="ar"/>
        </w:rPr>
        <w:t>操作系统</w:t>
      </w:r>
      <w:r>
        <w:rPr>
          <w:rFonts w:hint="eastAsia" w:ascii="宋体" w:hAnsi="宋体" w:cs="宋体"/>
          <w:color w:val="000000"/>
          <w:kern w:val="0"/>
          <w:sz w:val="21"/>
          <w:szCs w:val="21"/>
          <w:lang w:val="en-US" w:eastAsia="zh-CN" w:bidi="ar"/>
        </w:rPr>
        <w:t>等</w:t>
      </w:r>
      <w:r>
        <w:rPr>
          <w:rFonts w:hint="default" w:ascii="宋体" w:hAnsi="宋体" w:eastAsia="宋体" w:cs="宋体"/>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960" w:firstLineChars="0"/>
        <w:jc w:val="left"/>
        <w:textAlignment w:val="auto"/>
        <w:rPr>
          <w:rFonts w:hint="default" w:ascii="宋体" w:hAnsi="宋体" w:eastAsia="宋体" w:cs="宋体"/>
          <w:color w:val="000000"/>
          <w:kern w:val="0"/>
          <w:sz w:val="21"/>
          <w:szCs w:val="21"/>
          <w:lang w:val="en-US" w:eastAsia="zh-CN" w:bidi="ar"/>
        </w:rPr>
      </w:pPr>
      <w:r>
        <w:rPr>
          <w:rFonts w:hint="default" w:ascii="宋体" w:hAnsi="宋体" w:eastAsia="宋体" w:cs="宋体"/>
          <w:color w:val="000000"/>
          <w:kern w:val="0"/>
          <w:sz w:val="21"/>
          <w:szCs w:val="21"/>
          <w:lang w:val="en-US" w:eastAsia="zh-CN" w:bidi="ar"/>
        </w:rPr>
        <w:t>支持1+1冗余；配置≥2个800W热插拔冗余电源</w:t>
      </w:r>
      <w:r>
        <w:rPr>
          <w:rFonts w:hint="eastAsia" w:ascii="宋体" w:hAnsi="宋体" w:cs="宋体"/>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960" w:firstLineChars="0"/>
        <w:jc w:val="left"/>
        <w:textAlignment w:val="auto"/>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至少</w:t>
      </w:r>
      <w:r>
        <w:rPr>
          <w:rFonts w:hint="default" w:ascii="宋体" w:hAnsi="宋体" w:eastAsia="宋体" w:cs="宋体"/>
          <w:color w:val="000000"/>
          <w:kern w:val="0"/>
          <w:sz w:val="21"/>
          <w:szCs w:val="21"/>
          <w:lang w:val="en-US" w:eastAsia="zh-CN" w:bidi="ar"/>
        </w:rPr>
        <w:t>提供</w:t>
      </w:r>
      <w:r>
        <w:rPr>
          <w:rFonts w:hint="eastAsia" w:ascii="宋体" w:hAnsi="宋体" w:cs="宋体"/>
          <w:color w:val="000000"/>
          <w:kern w:val="0"/>
          <w:sz w:val="21"/>
          <w:szCs w:val="21"/>
          <w:lang w:val="en-US" w:eastAsia="zh-CN" w:bidi="ar"/>
        </w:rPr>
        <w:t>三</w:t>
      </w:r>
      <w:r>
        <w:rPr>
          <w:rFonts w:hint="default" w:ascii="宋体" w:hAnsi="宋体" w:eastAsia="宋体" w:cs="宋体"/>
          <w:color w:val="000000"/>
          <w:kern w:val="0"/>
          <w:sz w:val="21"/>
          <w:szCs w:val="21"/>
          <w:lang w:val="en-US" w:eastAsia="zh-CN" w:bidi="ar"/>
        </w:rPr>
        <w:t>年售后服务。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3、终端流量</w:t>
      </w:r>
      <w:r>
        <w:rPr>
          <w:rFonts w:hint="eastAsia" w:ascii="宋体" w:hAnsi="宋体" w:eastAsia="宋体" w:cs="宋体"/>
          <w:color w:val="000000"/>
          <w:kern w:val="0"/>
          <w:sz w:val="21"/>
          <w:szCs w:val="21"/>
          <w:lang w:val="en-US" w:eastAsia="zh-CN" w:bidi="ar"/>
        </w:rPr>
        <w:t>卡（</w:t>
      </w:r>
      <w:r>
        <w:rPr>
          <w:rFonts w:hint="eastAsia" w:ascii="宋体" w:hAnsi="宋体" w:cs="宋体"/>
          <w:color w:val="000000"/>
          <w:kern w:val="0"/>
          <w:sz w:val="21"/>
          <w:szCs w:val="21"/>
          <w:lang w:val="en-US" w:eastAsia="zh-CN" w:bidi="ar"/>
        </w:rPr>
        <w:t>至少</w:t>
      </w:r>
      <w:r>
        <w:rPr>
          <w:rFonts w:hint="eastAsia" w:ascii="宋体" w:hAnsi="宋体" w:eastAsia="宋体" w:cs="宋体"/>
          <w:color w:val="000000"/>
          <w:kern w:val="0"/>
          <w:sz w:val="21"/>
          <w:szCs w:val="21"/>
          <w:lang w:val="en-US" w:eastAsia="zh-CN" w:bidi="ar"/>
        </w:rPr>
        <w:t>三年）</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960" w:firstLineChars="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150张，</w:t>
      </w:r>
      <w:r>
        <w:rPr>
          <w:rFonts w:hint="eastAsia" w:ascii="宋体" w:hAnsi="宋体" w:cs="宋体"/>
          <w:color w:val="000000"/>
          <w:kern w:val="0"/>
          <w:sz w:val="21"/>
          <w:szCs w:val="21"/>
          <w:lang w:val="en-US" w:eastAsia="zh-CN" w:bidi="ar"/>
        </w:rPr>
        <w:t>每张</w:t>
      </w:r>
      <w:r>
        <w:rPr>
          <w:rFonts w:hint="eastAsia" w:ascii="宋体" w:hAnsi="宋体" w:eastAsia="宋体" w:cs="宋体"/>
          <w:color w:val="000000"/>
          <w:kern w:val="0"/>
          <w:sz w:val="21"/>
          <w:szCs w:val="21"/>
          <w:lang w:val="en-US" w:eastAsia="zh-CN" w:bidi="ar"/>
        </w:rPr>
        <w:t>10G/月，支持共享流量池。</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4、</w:t>
      </w:r>
      <w:r>
        <w:rPr>
          <w:rFonts w:hint="default" w:ascii="宋体" w:hAnsi="宋体" w:eastAsia="宋体" w:cs="宋体"/>
          <w:color w:val="000000"/>
          <w:kern w:val="0"/>
          <w:sz w:val="21"/>
          <w:szCs w:val="21"/>
          <w:lang w:val="en-US" w:eastAsia="zh-CN" w:bidi="ar"/>
        </w:rPr>
        <w:t>VPDN</w:t>
      </w:r>
      <w:r>
        <w:rPr>
          <w:rFonts w:hint="eastAsia" w:ascii="宋体" w:hAnsi="宋体" w:cs="宋体"/>
          <w:color w:val="000000"/>
          <w:kern w:val="0"/>
          <w:sz w:val="21"/>
          <w:szCs w:val="21"/>
          <w:lang w:val="en-US" w:eastAsia="zh-CN" w:bidi="ar"/>
        </w:rPr>
        <w:t>数</w:t>
      </w:r>
      <w:r>
        <w:rPr>
          <w:rFonts w:hint="eastAsia" w:ascii="宋体" w:hAnsi="宋体" w:eastAsia="宋体" w:cs="宋体"/>
          <w:color w:val="000000"/>
          <w:kern w:val="0"/>
          <w:sz w:val="21"/>
          <w:szCs w:val="21"/>
          <w:lang w:val="en-US" w:eastAsia="zh-CN" w:bidi="ar"/>
        </w:rPr>
        <w:t>据专线（</w:t>
      </w:r>
      <w:r>
        <w:rPr>
          <w:rFonts w:hint="eastAsia" w:ascii="宋体" w:hAnsi="宋体" w:cs="宋体"/>
          <w:color w:val="000000"/>
          <w:kern w:val="0"/>
          <w:sz w:val="21"/>
          <w:szCs w:val="21"/>
          <w:lang w:val="en-US" w:eastAsia="zh-CN" w:bidi="ar"/>
        </w:rPr>
        <w:t>至少</w:t>
      </w:r>
      <w:r>
        <w:rPr>
          <w:rFonts w:hint="eastAsia" w:ascii="宋体" w:hAnsi="宋体" w:eastAsia="宋体" w:cs="宋体"/>
          <w:color w:val="000000"/>
          <w:kern w:val="0"/>
          <w:sz w:val="21"/>
          <w:szCs w:val="21"/>
          <w:lang w:val="en-US" w:eastAsia="zh-CN" w:bidi="ar"/>
        </w:rPr>
        <w:t>三年）</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960" w:firstLineChars="0"/>
        <w:jc w:val="left"/>
        <w:textAlignment w:val="auto"/>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 </w:t>
      </w:r>
      <w:r>
        <w:rPr>
          <w:rFonts w:hint="default" w:ascii="宋体"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50M，上下对等</w:t>
      </w:r>
    </w:p>
    <w:p>
      <w:pPr>
        <w:keepNext w:val="0"/>
        <w:keepLines w:val="0"/>
        <w:widowControl/>
        <w:numPr>
          <w:ilvl w:val="0"/>
          <w:numId w:val="0"/>
        </w:numPr>
        <w:suppressLineNumbers w:val="0"/>
        <w:jc w:val="left"/>
        <w:rPr>
          <w:rFonts w:hint="default" w:ascii="宋体" w:hAnsi="宋体" w:cs="宋体"/>
          <w:color w:val="000000"/>
          <w:kern w:val="0"/>
          <w:sz w:val="21"/>
          <w:szCs w:val="21"/>
          <w:lang w:val="en-US" w:eastAsia="zh-CN" w:bidi="ar"/>
        </w:rPr>
      </w:pPr>
    </w:p>
    <w:p>
      <w:pPr>
        <w:widowControl w:val="0"/>
        <w:numPr>
          <w:ilvl w:val="0"/>
          <w:numId w:val="0"/>
        </w:numPr>
        <w:spacing w:line="360" w:lineRule="auto"/>
        <w:ind w:leftChars="0"/>
        <w:jc w:val="both"/>
        <w:rPr>
          <w:rFonts w:hint="eastAsia" w:ascii="宋体" w:hAnsi="宋体"/>
          <w:highlight w:val="none"/>
          <w:u w:val="none"/>
          <w:lang w:val="en-US" w:eastAsia="zh-CN"/>
        </w:rPr>
      </w:pPr>
      <w:r>
        <w:rPr>
          <w:rFonts w:hint="eastAsia" w:ascii="宋体" w:hAnsi="宋体"/>
          <w:highlight w:val="none"/>
          <w:u w:val="none"/>
          <w:lang w:val="en-US" w:eastAsia="zh-CN"/>
        </w:rPr>
        <w:t>五、服务要求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 xml:space="preserve">实施工期： 合同签订之日起 </w:t>
      </w:r>
      <w:r>
        <w:rPr>
          <w:rFonts w:hint="eastAsia" w:ascii="宋体" w:hAnsi="宋体" w:cs="宋体"/>
          <w:color w:val="000000"/>
          <w:kern w:val="0"/>
          <w:sz w:val="21"/>
          <w:szCs w:val="21"/>
          <w:lang w:val="en-US" w:eastAsia="zh-CN" w:bidi="ar"/>
        </w:rPr>
        <w:t>6</w:t>
      </w:r>
      <w:r>
        <w:rPr>
          <w:rFonts w:hint="eastAsia" w:ascii="宋体" w:hAnsi="宋体" w:eastAsia="宋体" w:cs="宋体"/>
          <w:color w:val="000000"/>
          <w:kern w:val="0"/>
          <w:sz w:val="21"/>
          <w:szCs w:val="21"/>
          <w:lang w:val="en-US" w:eastAsia="zh-CN" w:bidi="ar"/>
        </w:rPr>
        <w:t>0 个</w:t>
      </w:r>
      <w:r>
        <w:rPr>
          <w:rFonts w:hint="eastAsia" w:ascii="宋体" w:hAnsi="宋体" w:cs="宋体"/>
          <w:color w:val="000000"/>
          <w:kern w:val="0"/>
          <w:sz w:val="21"/>
          <w:szCs w:val="21"/>
          <w:lang w:val="en-US" w:eastAsia="zh-CN" w:bidi="ar"/>
        </w:rPr>
        <w:t>天</w:t>
      </w:r>
      <w:r>
        <w:rPr>
          <w:rFonts w:hint="eastAsia" w:ascii="宋体" w:hAnsi="宋体" w:eastAsia="宋体" w:cs="宋体"/>
          <w:color w:val="000000"/>
          <w:kern w:val="0"/>
          <w:sz w:val="21"/>
          <w:szCs w:val="21"/>
          <w:lang w:val="en-US" w:eastAsia="zh-CN" w:bidi="ar"/>
        </w:rPr>
        <w:t>内到货、安装、调试完毕。</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服务要求：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自验收合格之日起，至少提供3年免费维护期（服务期）；服务期内的所有设备（含专线、流量卡）和服务免费提供使用，不得额外再收费</w:t>
      </w:r>
      <w:r>
        <w:rPr>
          <w:rFonts w:hint="eastAsia" w:ascii="宋体" w:hAnsi="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免费维护期满后的维护费用双方再另外协商。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提供 7*24 小时技术支持热线电话。当系统发生故障时，在接到维修通知后 2 小时内响应并有明确的解决方案。若故障不能通过电话解决的，在 24 小时内有专人到达现场处理。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3、安全要求：在维护期（含服务期）内，须无条件配合且免费完成系统网络安全等级保护整改</w:t>
      </w:r>
      <w:r>
        <w:rPr>
          <w:rFonts w:hint="eastAsia" w:ascii="宋体" w:hAnsi="宋体" w:cs="宋体"/>
          <w:color w:val="000000"/>
          <w:kern w:val="0"/>
          <w:sz w:val="21"/>
          <w:szCs w:val="21"/>
          <w:lang w:val="en-US" w:eastAsia="zh-CN" w:bidi="ar"/>
        </w:rPr>
        <w:t>、电子病历评级、互联互通评审、密评等</w:t>
      </w:r>
      <w:r>
        <w:rPr>
          <w:rFonts w:hint="eastAsia" w:ascii="宋体" w:hAnsi="宋体" w:eastAsia="宋体" w:cs="宋体"/>
          <w:color w:val="000000"/>
          <w:kern w:val="0"/>
          <w:sz w:val="21"/>
          <w:szCs w:val="21"/>
          <w:lang w:val="en-US" w:eastAsia="zh-CN" w:bidi="ar"/>
        </w:rPr>
        <w:t>要求</w:t>
      </w:r>
      <w:r>
        <w:rPr>
          <w:rFonts w:hint="eastAsia" w:ascii="宋体" w:hAnsi="宋体" w:cs="宋体"/>
          <w:color w:val="000000"/>
          <w:kern w:val="0"/>
          <w:sz w:val="21"/>
          <w:szCs w:val="21"/>
          <w:lang w:val="en-US" w:eastAsia="zh-CN" w:bidi="ar"/>
        </w:rPr>
        <w:t>和需求</w:t>
      </w:r>
      <w:r>
        <w:rPr>
          <w:rFonts w:hint="eastAsia" w:ascii="宋体" w:hAnsi="宋体" w:eastAsia="宋体" w:cs="宋体"/>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4、培训要求：设备安装和调试完成后，提供专业培训服务，并保证每科室至少两名操作人员熟练掌握操作技术为止。</w:t>
      </w:r>
    </w:p>
    <w:p>
      <w:pPr>
        <w:widowControl w:val="0"/>
        <w:numPr>
          <w:ilvl w:val="0"/>
          <w:numId w:val="0"/>
        </w:numPr>
        <w:spacing w:line="360" w:lineRule="auto"/>
        <w:ind w:leftChars="0"/>
        <w:jc w:val="both"/>
        <w:rPr>
          <w:rFonts w:hint="eastAsia" w:ascii="宋体" w:hAnsi="宋体" w:eastAsia="宋体" w:cs="Times New Roman"/>
          <w:highlight w:val="none"/>
          <w:u w:val="none"/>
          <w:lang w:val="en-US" w:eastAsia="zh-CN"/>
        </w:rPr>
      </w:pPr>
      <w:r>
        <w:rPr>
          <w:rFonts w:hint="eastAsia" w:ascii="宋体" w:hAnsi="宋体" w:eastAsia="宋体" w:cs="Times New Roman"/>
          <w:highlight w:val="none"/>
          <w:u w:val="none"/>
          <w:lang w:val="en-US" w:eastAsia="zh-CN"/>
        </w:rPr>
        <w:t>六、项目目标</w:t>
      </w:r>
    </w:p>
    <w:p>
      <w:pPr>
        <w:numPr>
          <w:ilvl w:val="0"/>
          <w:numId w:val="0"/>
        </w:numPr>
        <w:spacing w:line="360" w:lineRule="auto"/>
        <w:ind w:firstLine="420" w:firstLineChars="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移动护理系统</w:t>
      </w:r>
      <w:r>
        <w:rPr>
          <w:rFonts w:hint="eastAsia" w:ascii="宋体" w:hAnsi="宋体" w:cs="宋体"/>
          <w:color w:val="000000"/>
          <w:kern w:val="0"/>
          <w:sz w:val="21"/>
          <w:szCs w:val="21"/>
          <w:lang w:val="en-US" w:eastAsia="zh-CN" w:bidi="ar"/>
        </w:rPr>
        <w:t>项目</w:t>
      </w:r>
      <w:r>
        <w:rPr>
          <w:rFonts w:hint="eastAsia" w:ascii="宋体" w:hAnsi="宋体" w:eastAsia="宋体" w:cs="宋体"/>
          <w:color w:val="000000"/>
          <w:kern w:val="0"/>
          <w:sz w:val="21"/>
          <w:szCs w:val="21"/>
          <w:lang w:val="en-US" w:eastAsia="zh-CN" w:bidi="ar"/>
        </w:rPr>
        <w:t>依托无线局域网技术、条码技术等技术的应用，通过中间件技术整合、对接</w:t>
      </w:r>
      <w:r>
        <w:rPr>
          <w:rFonts w:hint="eastAsia" w:ascii="宋体" w:hAnsi="宋体" w:cs="宋体"/>
          <w:color w:val="000000"/>
          <w:kern w:val="0"/>
          <w:sz w:val="21"/>
          <w:szCs w:val="21"/>
          <w:lang w:val="en-US" w:eastAsia="zh-CN" w:bidi="ar"/>
        </w:rPr>
        <w:t>医院</w:t>
      </w:r>
      <w:r>
        <w:rPr>
          <w:rFonts w:hint="eastAsia" w:ascii="宋体" w:hAnsi="宋体" w:eastAsia="宋体" w:cs="宋体"/>
          <w:color w:val="000000"/>
          <w:kern w:val="0"/>
          <w:sz w:val="21"/>
          <w:szCs w:val="21"/>
          <w:lang w:val="en-US" w:eastAsia="zh-CN" w:bidi="ar"/>
        </w:rPr>
        <w:t>业务信息系统，充分利用 HIS 的数据资源，实现 HIS 向病房的扩展和延伸</w:t>
      </w:r>
      <w:r>
        <w:rPr>
          <w:rFonts w:hint="eastAsia" w:ascii="宋体" w:hAnsi="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实现护士在患者床边</w:t>
      </w:r>
      <w:r>
        <w:rPr>
          <w:rFonts w:hint="eastAsia" w:ascii="宋体" w:hAnsi="宋体" w:cs="宋体"/>
          <w:color w:val="000000"/>
          <w:kern w:val="0"/>
          <w:sz w:val="21"/>
          <w:szCs w:val="21"/>
          <w:lang w:val="en-US" w:eastAsia="zh-CN" w:bidi="ar"/>
        </w:rPr>
        <w:t>完成</w:t>
      </w:r>
      <w:r>
        <w:rPr>
          <w:rFonts w:hint="eastAsia" w:ascii="宋体" w:hAnsi="宋体" w:eastAsia="宋体" w:cs="宋体"/>
          <w:color w:val="000000"/>
          <w:kern w:val="0"/>
          <w:sz w:val="21"/>
          <w:szCs w:val="21"/>
          <w:lang w:val="en-US" w:eastAsia="zh-CN" w:bidi="ar"/>
        </w:rPr>
        <w:t>各项</w:t>
      </w:r>
      <w:r>
        <w:rPr>
          <w:rFonts w:hint="eastAsia" w:ascii="宋体" w:hAnsi="宋体" w:cs="宋体"/>
          <w:color w:val="000000"/>
          <w:kern w:val="0"/>
          <w:sz w:val="21"/>
          <w:szCs w:val="21"/>
          <w:lang w:val="en-US" w:eastAsia="zh-CN" w:bidi="ar"/>
        </w:rPr>
        <w:t>治疗、输液、采血、药疗等</w:t>
      </w:r>
      <w:r>
        <w:rPr>
          <w:rFonts w:hint="eastAsia" w:ascii="宋体" w:hAnsi="宋体" w:eastAsia="宋体" w:cs="宋体"/>
          <w:color w:val="000000"/>
          <w:kern w:val="0"/>
          <w:sz w:val="21"/>
          <w:szCs w:val="21"/>
          <w:lang w:val="en-US" w:eastAsia="zh-CN" w:bidi="ar"/>
        </w:rPr>
        <w:t>医嘱有效核对、执行、确认及记录；同时满足护理人员在护理工作中的实时数据采集、信息查看、健康宣教和各种护理文书记录需求；优化医嘱信息的闭环管理，进一步对护士工作中“漏”与“疏忽”的风险进行控制</w:t>
      </w:r>
      <w:r>
        <w:rPr>
          <w:rFonts w:hint="eastAsia" w:ascii="宋体" w:hAnsi="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减少医疗差错，并大大减轻护士的工作负担。</w:t>
      </w:r>
    </w:p>
    <w:p>
      <w:pPr>
        <w:numPr>
          <w:ilvl w:val="0"/>
          <w:numId w:val="0"/>
        </w:numPr>
        <w:spacing w:line="360" w:lineRule="auto"/>
        <w:ind w:firstLine="420" w:firstLineChars="0"/>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通过本项目的建设，实现效果为： </w:t>
      </w:r>
    </w:p>
    <w:p>
      <w:pPr>
        <w:numPr>
          <w:ilvl w:val="0"/>
          <w:numId w:val="0"/>
        </w:numPr>
        <w:spacing w:line="360" w:lineRule="auto"/>
        <w:ind w:left="420" w:leftChars="0" w:firstLine="420" w:firstLineChars="0"/>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 xml:space="preserve">实现护理工作信息化管理，提高护理服务效率和质量，达到护理管理科学化、精细化等目标； </w:t>
      </w:r>
    </w:p>
    <w:p>
      <w:pPr>
        <w:numPr>
          <w:ilvl w:val="0"/>
          <w:numId w:val="0"/>
        </w:numPr>
        <w:spacing w:line="360" w:lineRule="auto"/>
        <w:ind w:left="420" w:leftChars="0" w:firstLine="420" w:firstLineChars="0"/>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实现护理工作无纸化管理流程、满足医院三甲评审和电子病历等级评价</w:t>
      </w:r>
      <w:r>
        <w:rPr>
          <w:rFonts w:hint="eastAsia" w:ascii="宋体" w:hAnsi="宋体" w:cs="宋体"/>
          <w:color w:val="000000"/>
          <w:kern w:val="0"/>
          <w:sz w:val="21"/>
          <w:szCs w:val="21"/>
          <w:lang w:val="en-US" w:eastAsia="zh-CN" w:bidi="ar"/>
        </w:rPr>
        <w:t>等</w:t>
      </w:r>
      <w:r>
        <w:rPr>
          <w:rFonts w:hint="eastAsia" w:ascii="宋体" w:hAnsi="宋体" w:eastAsia="宋体" w:cs="宋体"/>
          <w:color w:val="000000"/>
          <w:kern w:val="0"/>
          <w:sz w:val="21"/>
          <w:szCs w:val="21"/>
          <w:lang w:val="en-US" w:eastAsia="zh-CN" w:bidi="ar"/>
        </w:rPr>
        <w:t xml:space="preserve">相关评审指标要求； </w:t>
      </w:r>
    </w:p>
    <w:p>
      <w:pPr>
        <w:numPr>
          <w:ilvl w:val="0"/>
          <w:numId w:val="0"/>
        </w:numPr>
        <w:spacing w:line="360" w:lineRule="auto"/>
        <w:ind w:left="420" w:leftChars="0" w:firstLine="420" w:firstLineChars="0"/>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持续</w:t>
      </w:r>
      <w:r>
        <w:rPr>
          <w:rFonts w:hint="eastAsia" w:ascii="宋体" w:hAnsi="宋体" w:cs="宋体"/>
          <w:color w:val="000000"/>
          <w:kern w:val="0"/>
          <w:sz w:val="21"/>
          <w:szCs w:val="21"/>
          <w:lang w:val="en-US" w:eastAsia="zh-CN" w:bidi="ar"/>
        </w:rPr>
        <w:t>拓展医院移动医疗应用，提高</w:t>
      </w:r>
      <w:r>
        <w:rPr>
          <w:rFonts w:hint="eastAsia" w:ascii="宋体" w:hAnsi="宋体" w:eastAsia="宋体" w:cs="宋体"/>
          <w:color w:val="000000"/>
          <w:kern w:val="0"/>
          <w:sz w:val="21"/>
          <w:szCs w:val="21"/>
          <w:lang w:val="en-US" w:eastAsia="zh-CN" w:bidi="ar"/>
        </w:rPr>
        <w:t>医疗服务</w:t>
      </w:r>
      <w:r>
        <w:rPr>
          <w:rFonts w:hint="eastAsia" w:ascii="宋体" w:hAnsi="宋体" w:cs="宋体"/>
          <w:color w:val="000000"/>
          <w:kern w:val="0"/>
          <w:sz w:val="21"/>
          <w:szCs w:val="21"/>
          <w:lang w:val="en-US" w:eastAsia="zh-CN" w:bidi="ar"/>
        </w:rPr>
        <w:t>质量</w:t>
      </w:r>
      <w:r>
        <w:rPr>
          <w:rFonts w:hint="eastAsia" w:ascii="宋体" w:hAnsi="宋体" w:eastAsia="宋体" w:cs="宋体"/>
          <w:color w:val="000000"/>
          <w:kern w:val="0"/>
          <w:sz w:val="21"/>
          <w:szCs w:val="21"/>
          <w:lang w:val="en-US" w:eastAsia="zh-CN" w:bidi="ar"/>
        </w:rPr>
        <w:t>和患者满意度</w:t>
      </w:r>
      <w:r>
        <w:rPr>
          <w:rFonts w:hint="eastAsia" w:ascii="宋体" w:hAnsi="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default" w:ascii="宋体" w:hAnsi="宋体" w:eastAsia="宋体" w:cs="宋体"/>
          <w:color w:val="000000"/>
          <w:kern w:val="0"/>
          <w:sz w:val="21"/>
          <w:szCs w:val="21"/>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D1AE16"/>
    <w:multiLevelType w:val="singleLevel"/>
    <w:tmpl w:val="8ED1AE16"/>
    <w:lvl w:ilvl="0" w:tentative="0">
      <w:start w:val="12"/>
      <w:numFmt w:val="decimal"/>
      <w:suff w:val="nothing"/>
      <w:lvlText w:val="%1、"/>
      <w:lvlJc w:val="left"/>
    </w:lvl>
  </w:abstractNum>
  <w:abstractNum w:abstractNumId="1">
    <w:nsid w:val="E0133E52"/>
    <w:multiLevelType w:val="singleLevel"/>
    <w:tmpl w:val="E0133E52"/>
    <w:lvl w:ilvl="0" w:tentative="0">
      <w:start w:val="2"/>
      <w:numFmt w:val="chineseCounting"/>
      <w:suff w:val="nothing"/>
      <w:lvlText w:val="（%1）"/>
      <w:lvlJc w:val="left"/>
      <w:rPr>
        <w:rFonts w:hint="eastAsia"/>
      </w:rPr>
    </w:lvl>
  </w:abstractNum>
  <w:abstractNum w:abstractNumId="2">
    <w:nsid w:val="06D53DA1"/>
    <w:multiLevelType w:val="multilevel"/>
    <w:tmpl w:val="06D53DA1"/>
    <w:lvl w:ilvl="0" w:tentative="0">
      <w:start w:val="1"/>
      <w:numFmt w:val="chineseCountingThousand"/>
      <w:lvlText w:val="%1、"/>
      <w:lvlJc w:val="left"/>
      <w:pPr>
        <w:tabs>
          <w:tab w:val="left" w:pos="432"/>
        </w:tabs>
        <w:ind w:left="432" w:hanging="432"/>
      </w:pPr>
      <w:rPr>
        <w:rFonts w:hint="default" w:ascii="Arial" w:hAnsi="Arial" w:cs="Arial"/>
        <w:sz w:val="44"/>
        <w:szCs w:val="44"/>
      </w:rPr>
    </w:lvl>
    <w:lvl w:ilvl="1" w:tentative="0">
      <w:start w:val="1"/>
      <w:numFmt w:val="decimal"/>
      <w:pStyle w:val="2"/>
      <w:isLgl/>
      <w:lvlText w:val="%1.%2"/>
      <w:lvlJc w:val="left"/>
      <w:pPr>
        <w:tabs>
          <w:tab w:val="left" w:pos="576"/>
        </w:tabs>
        <w:ind w:left="576" w:hanging="576"/>
      </w:pPr>
      <w:rPr>
        <w:rFonts w:hint="default" w:ascii="Arial" w:hAnsi="Arial" w:cs="Arial"/>
      </w:rPr>
    </w:lvl>
    <w:lvl w:ilvl="2" w:tentative="0">
      <w:start w:val="1"/>
      <w:numFmt w:val="decimal"/>
      <w:isLgl/>
      <w:lvlText w:val="%1.%2.%3"/>
      <w:lvlJc w:val="left"/>
      <w:pPr>
        <w:tabs>
          <w:tab w:val="left" w:pos="720"/>
        </w:tabs>
        <w:ind w:left="720" w:hanging="720"/>
      </w:pPr>
      <w:rPr>
        <w:rFonts w:hint="default" w:ascii="Arial" w:hAnsi="Arial" w:cs="Arial"/>
      </w:rPr>
    </w:lvl>
    <w:lvl w:ilvl="3" w:tentative="0">
      <w:start w:val="1"/>
      <w:numFmt w:val="decimal"/>
      <w:isLgl/>
      <w:lvlText w:val="%1.%2.%3.%4"/>
      <w:lvlJc w:val="left"/>
      <w:pPr>
        <w:tabs>
          <w:tab w:val="left" w:pos="864"/>
        </w:tabs>
        <w:ind w:left="864" w:hanging="864"/>
      </w:pPr>
      <w:rPr>
        <w:rFonts w:hint="default" w:ascii="Arial" w:hAnsi="Arial" w:cs="Arial"/>
      </w:rPr>
    </w:lvl>
    <w:lvl w:ilvl="4" w:tentative="0">
      <w:start w:val="1"/>
      <w:numFmt w:val="decimal"/>
      <w:isLgl/>
      <w:lvlText w:val="%1.%2.%3.%4.%5"/>
      <w:lvlJc w:val="left"/>
      <w:pPr>
        <w:tabs>
          <w:tab w:val="left" w:pos="1008"/>
        </w:tabs>
        <w:ind w:left="1008" w:hanging="1008"/>
      </w:pPr>
      <w:rPr>
        <w:rFonts w:hint="default" w:ascii="Arial" w:hAnsi="Arial" w:cs="Arial"/>
      </w:rPr>
    </w:lvl>
    <w:lvl w:ilvl="5" w:tentative="0">
      <w:start w:val="1"/>
      <w:numFmt w:val="decimal"/>
      <w:isLgl/>
      <w:lvlText w:val="%1.%2.%3.%4.%5.%6"/>
      <w:lvlJc w:val="left"/>
      <w:pPr>
        <w:tabs>
          <w:tab w:val="left" w:pos="1152"/>
        </w:tabs>
        <w:ind w:left="1152" w:hanging="1152"/>
      </w:pPr>
      <w:rPr>
        <w:rFonts w:hint="default" w:ascii="Arial" w:hAnsi="Arial" w:cs="Arial"/>
      </w:rPr>
    </w:lvl>
    <w:lvl w:ilvl="6" w:tentative="0">
      <w:start w:val="1"/>
      <w:numFmt w:val="decimal"/>
      <w:isLgl/>
      <w:lvlText w:val="%1.%2.%3.%4.%5.%6.%7"/>
      <w:lvlJc w:val="left"/>
      <w:pPr>
        <w:tabs>
          <w:tab w:val="left" w:pos="1296"/>
        </w:tabs>
        <w:ind w:left="1296" w:hanging="1296"/>
      </w:pPr>
      <w:rPr>
        <w:rFonts w:hint="default" w:ascii="Arial" w:hAnsi="Arial" w:cs="Arial"/>
      </w:rPr>
    </w:lvl>
    <w:lvl w:ilvl="7" w:tentative="0">
      <w:start w:val="1"/>
      <w:numFmt w:val="decimal"/>
      <w:isLgl/>
      <w:lvlText w:val="%1.%2.%3.%4.%5.%6.%7.%8"/>
      <w:lvlJc w:val="left"/>
      <w:pPr>
        <w:tabs>
          <w:tab w:val="left" w:pos="1440"/>
        </w:tabs>
        <w:ind w:left="1440" w:hanging="1440"/>
      </w:pPr>
      <w:rPr>
        <w:rFonts w:hint="default" w:ascii="Arial" w:hAnsi="Arial" w:cs="Arial"/>
      </w:rPr>
    </w:lvl>
    <w:lvl w:ilvl="8" w:tentative="0">
      <w:start w:val="1"/>
      <w:numFmt w:val="decimal"/>
      <w:isLgl/>
      <w:lvlText w:val="%1.%2.%3.%4.%5.%6.%7.%8.%9"/>
      <w:lvlJc w:val="left"/>
      <w:pPr>
        <w:tabs>
          <w:tab w:val="left" w:pos="1584"/>
        </w:tabs>
        <w:ind w:left="1584" w:hanging="1584"/>
      </w:pPr>
      <w:rPr>
        <w:rFonts w:hint="default" w:ascii="Arial" w:hAnsi="Arial" w:cs="Aria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jMzNjMTFhMDhjMmYyMjVlNGE1MjBlNWM1Yzc5YTMifQ=="/>
  </w:docVars>
  <w:rsids>
    <w:rsidRoot w:val="360B7F7A"/>
    <w:rsid w:val="360B7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2"/>
      <w:lang w:val="en-US" w:eastAsia="zh-CN" w:bidi="ar-SA"/>
    </w:rPr>
  </w:style>
  <w:style w:type="paragraph" w:styleId="2">
    <w:name w:val="heading 2"/>
    <w:basedOn w:val="1"/>
    <w:next w:val="1"/>
    <w:qFormat/>
    <w:uiPriority w:val="0"/>
    <w:pPr>
      <w:keepNext/>
      <w:keepLines/>
      <w:numPr>
        <w:ilvl w:val="1"/>
        <w:numId w:val="1"/>
      </w:numPr>
      <w:spacing w:before="156" w:beforeLines="50" w:after="156" w:afterLines="50" w:line="416" w:lineRule="auto"/>
      <w:outlineLvl w:val="1"/>
    </w:pPr>
    <w:rPr>
      <w:rFonts w:ascii="宋体" w:hAnsi="宋体" w:cs="Times New Roman"/>
      <w:b/>
      <w:bCs/>
      <w:sz w:val="32"/>
      <w:szCs w:val="32"/>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2023-12-22T07:35:00Z</dcterms:created>
  <dc:creator>荻林</dc:creator>
  <cp:lastModifiedBy>荻林</cp:lastModifiedBy>
  <dcterms:modified xsi:type="dcterms:W3CDTF">2023-12-22T07:51:59Z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1A381496685A4F8FA5E35353C31509F4_11</vt:lpwstr>
  </property>
</Properties>
</file>