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F9BA5">
      <w:pPr>
        <w:jc w:val="center"/>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重症医学科购买移动查房推车项目需求</w:t>
      </w:r>
    </w:p>
    <w:p w14:paraId="4450C048">
      <w:pPr>
        <w:pStyle w:val="2"/>
        <w:numPr>
          <w:ilvl w:val="0"/>
          <w:numId w:val="0"/>
        </w:numPr>
        <w:ind w:leftChars="0"/>
        <w:rPr>
          <w:rFonts w:hint="eastAsia"/>
          <w:lang w:val="en-US" w:eastAsia="zh-CN"/>
        </w:rPr>
      </w:pPr>
    </w:p>
    <w:p w14:paraId="77B59047">
      <w:pPr>
        <w:numPr>
          <w:ilvl w:val="0"/>
          <w:numId w:val="0"/>
        </w:numPr>
        <w:rPr>
          <w:rFonts w:hint="eastAsia" w:ascii="宋体" w:hAnsi="宋体" w:cs="宋体"/>
          <w:sz w:val="28"/>
          <w:szCs w:val="28"/>
        </w:rPr>
      </w:pPr>
      <w:r>
        <w:rPr>
          <w:rFonts w:hint="eastAsia" w:ascii="宋体" w:hAnsi="宋体" w:cs="宋体" w:eastAsiaTheme="minorEastAsia"/>
          <w:kern w:val="2"/>
          <w:sz w:val="28"/>
          <w:szCs w:val="28"/>
          <w:lang w:val="en-US" w:eastAsia="zh-CN" w:bidi="ar-SA"/>
        </w:rPr>
        <w:t>一、</w:t>
      </w:r>
      <w:r>
        <w:rPr>
          <w:rFonts w:hint="eastAsia" w:ascii="宋体" w:hAnsi="宋体" w:cs="宋体"/>
          <w:sz w:val="28"/>
          <w:szCs w:val="28"/>
        </w:rPr>
        <w:t>项目概述</w:t>
      </w:r>
    </w:p>
    <w:p w14:paraId="0F068ADC">
      <w:pPr>
        <w:pStyle w:val="2"/>
        <w:numPr>
          <w:ilvl w:val="0"/>
          <w:numId w:val="0"/>
        </w:numPr>
        <w:ind w:firstLine="560" w:firstLineChars="200"/>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在医疗行业高质量发展的背景下，高效、只能的护理设备已成为提升医院服务能力的核心要素。一体式电脑支持余医院系统无缝对接，实现医嘱实时同步，可升降操作台，适配不同身高医护人员的操作需求</w:t>
      </w:r>
      <w:r>
        <w:rPr>
          <w:rFonts w:hint="eastAsia" w:ascii="宋体" w:hAnsi="宋体" w:eastAsia="宋体" w:cs="宋体"/>
          <w:sz w:val="28"/>
          <w:szCs w:val="28"/>
          <w:lang w:val="en-US" w:eastAsia="zh-CN"/>
        </w:rPr>
        <w:t>，重症医学科申请购买移动查房推车3台，预算金额：3.84万。</w:t>
      </w:r>
    </w:p>
    <w:p w14:paraId="7F487C7A">
      <w:pPr>
        <w:pStyle w:val="2"/>
        <w:numPr>
          <w:ilvl w:val="0"/>
          <w:numId w:val="0"/>
        </w:numPr>
        <w:ind w:firstLine="560" w:firstLineChars="200"/>
        <w:rPr>
          <w:rFonts w:hint="default" w:ascii="宋体" w:hAnsi="宋体" w:eastAsia="宋体" w:cs="宋体"/>
          <w:sz w:val="28"/>
          <w:szCs w:val="28"/>
          <w:lang w:val="en-US" w:eastAsia="zh-CN"/>
        </w:rPr>
      </w:pPr>
      <w:bookmarkStart w:id="1" w:name="_GoBack"/>
      <w:bookmarkEnd w:id="1"/>
    </w:p>
    <w:p w14:paraId="2A0460EA">
      <w:pPr>
        <w:widowControl/>
        <w:numPr>
          <w:ilvl w:val="0"/>
          <w:numId w:val="0"/>
        </w:numPr>
        <w:spacing w:line="360" w:lineRule="auto"/>
        <w:jc w:val="left"/>
        <w:rPr>
          <w:rFonts w:hint="eastAsia" w:ascii="宋体" w:hAnsi="宋体" w:cs="宋体"/>
          <w:color w:val="000000"/>
          <w:kern w:val="0"/>
          <w:sz w:val="28"/>
          <w:szCs w:val="28"/>
          <w:lang w:bidi="ar"/>
        </w:rPr>
      </w:pPr>
      <w:r>
        <w:rPr>
          <w:rFonts w:hint="eastAsia" w:ascii="宋体" w:hAnsi="宋体" w:cs="宋体" w:eastAsiaTheme="minorEastAsia"/>
          <w:color w:val="000000"/>
          <w:kern w:val="0"/>
          <w:sz w:val="28"/>
          <w:szCs w:val="28"/>
          <w:lang w:val="en-US" w:eastAsia="zh-CN" w:bidi="ar"/>
        </w:rPr>
        <w:t>二、</w:t>
      </w:r>
      <w:r>
        <w:rPr>
          <w:rFonts w:hint="eastAsia" w:ascii="宋体" w:hAnsi="宋体" w:cs="宋体"/>
          <w:color w:val="000000"/>
          <w:kern w:val="0"/>
          <w:sz w:val="28"/>
          <w:szCs w:val="28"/>
          <w:lang w:bidi="ar"/>
        </w:rPr>
        <w:t>总体目标</w:t>
      </w:r>
    </w:p>
    <w:p w14:paraId="5526F00C">
      <w:pPr>
        <w:pStyle w:val="2"/>
        <w:numPr>
          <w:ilvl w:val="0"/>
          <w:numId w:val="0"/>
        </w:numPr>
        <w:ind w:leftChars="0" w:firstLine="560" w:firstLineChars="200"/>
        <w:rPr>
          <w:rFonts w:hint="default"/>
          <w:sz w:val="28"/>
          <w:szCs w:val="28"/>
          <w:lang w:val="en-US" w:eastAsia="zh-CN"/>
        </w:rPr>
      </w:pPr>
      <w:r>
        <w:rPr>
          <w:rFonts w:hint="eastAsia"/>
          <w:sz w:val="28"/>
          <w:szCs w:val="28"/>
          <w:lang w:val="en-US" w:eastAsia="zh-CN"/>
        </w:rPr>
        <w:t>实现</w:t>
      </w:r>
      <w:r>
        <w:rPr>
          <w:rFonts w:hint="default"/>
          <w:sz w:val="28"/>
          <w:szCs w:val="28"/>
          <w:lang w:val="en-US" w:eastAsia="zh-CN"/>
        </w:rPr>
        <w:t>护士可在查房车上完成护理评估记录、生命体征录入、执行医嘱确认、护理计划制定等工作，无需频繁返回固定工作站。</w:t>
      </w:r>
    </w:p>
    <w:p w14:paraId="627E92FB">
      <w:pPr>
        <w:pStyle w:val="2"/>
        <w:numPr>
          <w:ilvl w:val="0"/>
          <w:numId w:val="0"/>
        </w:numPr>
        <w:ind w:leftChars="0" w:firstLine="560" w:firstLineChars="200"/>
        <w:rPr>
          <w:rFonts w:hint="default"/>
          <w:sz w:val="28"/>
          <w:szCs w:val="28"/>
          <w:lang w:val="en-US" w:eastAsia="zh-CN"/>
        </w:rPr>
      </w:pPr>
    </w:p>
    <w:p w14:paraId="1BC220C9">
      <w:pPr>
        <w:widowControl/>
        <w:numPr>
          <w:ilvl w:val="0"/>
          <w:numId w:val="0"/>
        </w:numPr>
        <w:spacing w:line="360" w:lineRule="auto"/>
        <w:jc w:val="left"/>
        <w:rPr>
          <w:rFonts w:hint="eastAsia" w:ascii="宋体" w:hAnsi="宋体" w:cs="宋体"/>
          <w:color w:val="000000"/>
          <w:kern w:val="0"/>
          <w:sz w:val="28"/>
          <w:szCs w:val="28"/>
          <w:lang w:bidi="ar"/>
        </w:rPr>
      </w:pPr>
      <w:r>
        <w:rPr>
          <w:rFonts w:hint="eastAsia" w:ascii="宋体" w:hAnsi="宋体" w:cs="宋体" w:eastAsiaTheme="minorEastAsia"/>
          <w:color w:val="000000"/>
          <w:kern w:val="0"/>
          <w:sz w:val="28"/>
          <w:szCs w:val="28"/>
          <w:lang w:val="en-US" w:eastAsia="zh-CN" w:bidi="ar"/>
        </w:rPr>
        <w:t>三、</w:t>
      </w:r>
      <w:r>
        <w:rPr>
          <w:rFonts w:hint="eastAsia" w:ascii="宋体" w:hAnsi="宋体" w:cs="宋体"/>
          <w:color w:val="000000"/>
          <w:kern w:val="0"/>
          <w:sz w:val="28"/>
          <w:szCs w:val="28"/>
          <w:lang w:bidi="ar"/>
        </w:rPr>
        <w:t>采购清单及技术参数</w:t>
      </w:r>
    </w:p>
    <w:p w14:paraId="4A1AF337">
      <w:pPr>
        <w:spacing w:line="480" w:lineRule="auto"/>
        <w:ind w:firstLine="560" w:firstLineChars="200"/>
        <w:rPr>
          <w:sz w:val="28"/>
          <w:szCs w:val="28"/>
        </w:rPr>
      </w:pPr>
      <w:r>
        <w:rPr>
          <w:rFonts w:hint="eastAsia"/>
          <w:sz w:val="28"/>
          <w:szCs w:val="28"/>
        </w:rPr>
        <w:t>1、整机尺寸：</w:t>
      </w:r>
      <w:r>
        <w:rPr>
          <w:rFonts w:hint="eastAsia" w:ascii="宋体" w:hAnsi="宋体"/>
          <w:sz w:val="28"/>
          <w:szCs w:val="28"/>
        </w:rPr>
        <w:t>≥</w:t>
      </w:r>
      <w:r>
        <w:rPr>
          <w:rFonts w:hint="eastAsia"/>
          <w:sz w:val="28"/>
          <w:szCs w:val="28"/>
        </w:rPr>
        <w:t>485mm(宽) x 495（深)x1100mm(台面最高离地高度)±10mm（注：该尺寸不含挂架及配件）。</w:t>
      </w:r>
    </w:p>
    <w:p w14:paraId="7C957400">
      <w:pPr>
        <w:spacing w:line="480" w:lineRule="auto"/>
        <w:ind w:firstLine="560" w:firstLineChars="200"/>
        <w:rPr>
          <w:sz w:val="28"/>
          <w:szCs w:val="28"/>
        </w:rPr>
      </w:pPr>
      <w:r>
        <w:rPr>
          <w:rFonts w:hint="eastAsia"/>
          <w:sz w:val="28"/>
          <w:szCs w:val="28"/>
        </w:rPr>
        <w:t>2、整车材质：整车主要材质为塑料、高强度航空铝及不锈钢组成，车体表面抑菌处理，方便清洁，耐受酒精、洗必泰、施康等医院常用消毒剂擦拭消毒。</w:t>
      </w:r>
    </w:p>
    <w:p w14:paraId="141916ED">
      <w:pPr>
        <w:spacing w:line="480" w:lineRule="auto"/>
        <w:ind w:firstLine="560" w:firstLineChars="200"/>
        <w:rPr>
          <w:sz w:val="28"/>
          <w:szCs w:val="28"/>
        </w:rPr>
      </w:pPr>
      <w:r>
        <w:rPr>
          <w:rFonts w:hint="eastAsia"/>
          <w:sz w:val="28"/>
          <w:szCs w:val="28"/>
        </w:rPr>
        <w:t>3、工作台面：台面为ABS抑菌材质，可耐受医院常用消毒剂，</w:t>
      </w:r>
      <w:r>
        <w:rPr>
          <w:sz w:val="28"/>
          <w:szCs w:val="28"/>
        </w:rPr>
        <w:t>符合</w:t>
      </w:r>
      <w:r>
        <w:rPr>
          <w:rFonts w:hint="eastAsia"/>
          <w:sz w:val="28"/>
          <w:szCs w:val="28"/>
        </w:rPr>
        <w:t>GB</w:t>
      </w:r>
      <w:r>
        <w:rPr>
          <w:sz w:val="28"/>
          <w:szCs w:val="28"/>
        </w:rPr>
        <w:t>21551</w:t>
      </w:r>
      <w:r>
        <w:rPr>
          <w:rFonts w:hint="eastAsia"/>
          <w:sz w:val="28"/>
          <w:szCs w:val="28"/>
        </w:rPr>
        <w:t>国家</w:t>
      </w:r>
      <w:r>
        <w:rPr>
          <w:sz w:val="28"/>
          <w:szCs w:val="28"/>
        </w:rPr>
        <w:t>标准</w:t>
      </w:r>
      <w:r>
        <w:rPr>
          <w:rFonts w:hint="eastAsia"/>
          <w:sz w:val="28"/>
          <w:szCs w:val="28"/>
        </w:rPr>
        <w:t>； 工作台面有四面凹型围档，且与把手全闭环一体成型； 工作台面尺寸：&gt;（长)470mm*（宽）466mm; 工作台面可根据使用需求自由升降调节。</w:t>
      </w:r>
    </w:p>
    <w:p w14:paraId="2E49651E">
      <w:pPr>
        <w:spacing w:line="480" w:lineRule="auto"/>
        <w:ind w:firstLine="560" w:firstLineChars="200"/>
        <w:rPr>
          <w:sz w:val="28"/>
          <w:szCs w:val="28"/>
        </w:rPr>
      </w:pPr>
      <w:r>
        <w:rPr>
          <w:rFonts w:hint="eastAsia"/>
          <w:sz w:val="28"/>
          <w:szCs w:val="28"/>
        </w:rPr>
        <w:t>4、键盘托：键盘托完全隐藏在台面设备层内，使用时通过键盘托把手拉出即可，不用时推入不占外部空间。</w:t>
      </w:r>
    </w:p>
    <w:p w14:paraId="45FA7009">
      <w:pPr>
        <w:spacing w:line="480" w:lineRule="auto"/>
        <w:ind w:firstLine="560" w:firstLineChars="200"/>
        <w:rPr>
          <w:sz w:val="28"/>
          <w:szCs w:val="28"/>
        </w:rPr>
      </w:pPr>
      <w:r>
        <w:rPr>
          <w:rFonts w:hint="eastAsia"/>
          <w:sz w:val="28"/>
          <w:szCs w:val="28"/>
        </w:rPr>
        <w:t>4、脚轮：4个医疗级万向脚轮；2个前轮带刹车功能，超静音、防滑、防缠绕脚轮。</w:t>
      </w:r>
    </w:p>
    <w:p w14:paraId="6128C532">
      <w:pPr>
        <w:spacing w:line="480" w:lineRule="auto"/>
        <w:ind w:firstLine="560" w:firstLineChars="200"/>
        <w:rPr>
          <w:sz w:val="28"/>
          <w:szCs w:val="28"/>
        </w:rPr>
      </w:pPr>
      <w:r>
        <w:rPr>
          <w:rFonts w:hint="eastAsia"/>
          <w:sz w:val="28"/>
          <w:szCs w:val="28"/>
        </w:rPr>
        <w:t>5、制动方式：脚踏式制动。</w:t>
      </w:r>
    </w:p>
    <w:p w14:paraId="6C65E376">
      <w:pPr>
        <w:spacing w:line="480" w:lineRule="auto"/>
        <w:ind w:firstLine="560" w:firstLineChars="200"/>
        <w:rPr>
          <w:sz w:val="28"/>
          <w:szCs w:val="28"/>
        </w:rPr>
      </w:pPr>
      <w:r>
        <w:rPr>
          <w:rFonts w:hint="eastAsia"/>
          <w:sz w:val="28"/>
          <w:szCs w:val="28"/>
        </w:rPr>
        <w:t>6、显示屏支架：调整角度：水平左旋转≥90°，水平右旋转≥180°，显示屏支架可升降。</w:t>
      </w:r>
    </w:p>
    <w:p w14:paraId="1AEE0972">
      <w:pPr>
        <w:spacing w:line="480" w:lineRule="auto"/>
        <w:ind w:firstLine="560" w:firstLineChars="200"/>
        <w:rPr>
          <w:sz w:val="28"/>
          <w:szCs w:val="28"/>
        </w:rPr>
      </w:pPr>
      <w:r>
        <w:rPr>
          <w:rFonts w:hint="eastAsia"/>
          <w:sz w:val="28"/>
          <w:szCs w:val="28"/>
        </w:rPr>
        <w:t>7、CPU：不低于6核12线程的桌面级 CPU。</w:t>
      </w:r>
    </w:p>
    <w:p w14:paraId="14E0FDF2">
      <w:pPr>
        <w:spacing w:line="480" w:lineRule="auto"/>
        <w:ind w:firstLine="560" w:firstLineChars="200"/>
        <w:rPr>
          <w:sz w:val="28"/>
          <w:szCs w:val="28"/>
        </w:rPr>
      </w:pPr>
      <w:r>
        <w:rPr>
          <w:rFonts w:hint="eastAsia"/>
          <w:sz w:val="28"/>
          <w:szCs w:val="28"/>
        </w:rPr>
        <w:t>8、内存：不低于8GB。</w:t>
      </w:r>
    </w:p>
    <w:p w14:paraId="2FA6B83B">
      <w:pPr>
        <w:spacing w:line="480" w:lineRule="auto"/>
        <w:ind w:firstLine="560" w:firstLineChars="200"/>
        <w:rPr>
          <w:sz w:val="28"/>
          <w:szCs w:val="28"/>
        </w:rPr>
      </w:pPr>
      <w:r>
        <w:rPr>
          <w:rFonts w:hint="eastAsia"/>
          <w:sz w:val="28"/>
          <w:szCs w:val="28"/>
        </w:rPr>
        <w:t>9、硬盘：固态硬盘不低于</w:t>
      </w:r>
      <w:r>
        <w:rPr>
          <w:sz w:val="28"/>
          <w:szCs w:val="28"/>
        </w:rPr>
        <w:t>512GB。</w:t>
      </w:r>
    </w:p>
    <w:p w14:paraId="72536987">
      <w:pPr>
        <w:spacing w:line="480" w:lineRule="auto"/>
        <w:ind w:firstLine="560" w:firstLineChars="200"/>
        <w:rPr>
          <w:sz w:val="28"/>
          <w:szCs w:val="28"/>
        </w:rPr>
      </w:pPr>
      <w:r>
        <w:rPr>
          <w:rFonts w:hint="eastAsia"/>
          <w:sz w:val="28"/>
          <w:szCs w:val="28"/>
        </w:rPr>
        <w:t>10、屏幕：</w:t>
      </w:r>
      <w:r>
        <w:rPr>
          <w:rFonts w:hint="eastAsia" w:ascii="宋体" w:hAnsi="宋体"/>
          <w:sz w:val="28"/>
          <w:szCs w:val="28"/>
        </w:rPr>
        <w:t>≥</w:t>
      </w:r>
      <w:r>
        <w:rPr>
          <w:rFonts w:hint="eastAsia"/>
          <w:sz w:val="28"/>
          <w:szCs w:val="28"/>
        </w:rPr>
        <w:t>23.8英寸；分辨率≥1920*1080。</w:t>
      </w:r>
    </w:p>
    <w:p w14:paraId="61AB4D50">
      <w:pPr>
        <w:spacing w:line="480" w:lineRule="auto"/>
        <w:ind w:firstLine="560" w:firstLineChars="200"/>
        <w:rPr>
          <w:sz w:val="28"/>
          <w:szCs w:val="28"/>
        </w:rPr>
      </w:pPr>
      <w:r>
        <w:rPr>
          <w:rFonts w:hint="eastAsia"/>
          <w:sz w:val="28"/>
          <w:szCs w:val="28"/>
        </w:rPr>
        <w:t>11、无线网络：支持2.4G/5G双 频 网 络，支 持 协 议</w:t>
      </w:r>
      <w:r>
        <w:rPr>
          <w:sz w:val="28"/>
          <w:szCs w:val="28"/>
        </w:rPr>
        <w:t>802. 11a/b/g/n/ac。</w:t>
      </w:r>
    </w:p>
    <w:p w14:paraId="5F001F1F">
      <w:pPr>
        <w:spacing w:line="480" w:lineRule="auto"/>
        <w:ind w:firstLine="560" w:firstLineChars="200"/>
        <w:rPr>
          <w:sz w:val="28"/>
          <w:szCs w:val="28"/>
        </w:rPr>
      </w:pPr>
      <w:r>
        <w:rPr>
          <w:rFonts w:hint="eastAsia"/>
          <w:sz w:val="28"/>
          <w:szCs w:val="28"/>
        </w:rPr>
        <w:t>12、天线：内置天线设计，无任何外露。</w:t>
      </w:r>
    </w:p>
    <w:p w14:paraId="2B1A2BA7">
      <w:pPr>
        <w:spacing w:line="480" w:lineRule="auto"/>
        <w:ind w:firstLine="560" w:firstLineChars="200"/>
        <w:rPr>
          <w:sz w:val="28"/>
          <w:szCs w:val="28"/>
        </w:rPr>
      </w:pPr>
      <w:r>
        <w:rPr>
          <w:rFonts w:hint="eastAsia"/>
          <w:sz w:val="28"/>
          <w:szCs w:val="28"/>
        </w:rPr>
        <w:t>13、主机接口：</w:t>
      </w:r>
      <w:r>
        <w:rPr>
          <w:sz w:val="28"/>
          <w:szCs w:val="28"/>
        </w:rPr>
        <w:t>USB2.0</w:t>
      </w:r>
      <w:r>
        <w:rPr>
          <w:rFonts w:hint="eastAsia"/>
          <w:sz w:val="28"/>
          <w:szCs w:val="28"/>
        </w:rPr>
        <w:t>≥2</w:t>
      </w:r>
      <w:r>
        <w:rPr>
          <w:sz w:val="28"/>
          <w:szCs w:val="28"/>
        </w:rPr>
        <w:t>，USB3.0</w:t>
      </w:r>
      <w:r>
        <w:rPr>
          <w:rFonts w:hint="eastAsia"/>
          <w:sz w:val="28"/>
          <w:szCs w:val="28"/>
        </w:rPr>
        <w:t>≥1</w:t>
      </w:r>
      <w:r>
        <w:rPr>
          <w:sz w:val="28"/>
          <w:szCs w:val="28"/>
        </w:rPr>
        <w:t>，HDMI</w:t>
      </w:r>
      <w:r>
        <w:rPr>
          <w:rFonts w:hint="eastAsia"/>
          <w:sz w:val="28"/>
          <w:szCs w:val="28"/>
        </w:rPr>
        <w:t>≥1</w:t>
      </w:r>
      <w:r>
        <w:rPr>
          <w:sz w:val="28"/>
          <w:szCs w:val="28"/>
        </w:rPr>
        <w:t>，</w:t>
      </w:r>
      <w:r>
        <w:rPr>
          <w:rFonts w:hint="eastAsia"/>
          <w:sz w:val="28"/>
          <w:szCs w:val="28"/>
        </w:rPr>
        <w:t>R</w:t>
      </w:r>
      <w:r>
        <w:rPr>
          <w:sz w:val="28"/>
          <w:szCs w:val="28"/>
        </w:rPr>
        <w:t>J45</w:t>
      </w:r>
      <w:r>
        <w:rPr>
          <w:rFonts w:hint="eastAsia"/>
          <w:sz w:val="28"/>
          <w:szCs w:val="28"/>
        </w:rPr>
        <w:t>≥</w:t>
      </w:r>
      <w:r>
        <w:rPr>
          <w:sz w:val="28"/>
          <w:szCs w:val="28"/>
        </w:rPr>
        <w:t>1。</w:t>
      </w:r>
    </w:p>
    <w:p w14:paraId="2627D8E7">
      <w:pPr>
        <w:spacing w:line="480" w:lineRule="auto"/>
        <w:ind w:firstLine="560" w:firstLineChars="200"/>
        <w:rPr>
          <w:sz w:val="28"/>
          <w:szCs w:val="28"/>
        </w:rPr>
      </w:pPr>
      <w:r>
        <w:rPr>
          <w:rFonts w:hint="eastAsia"/>
          <w:sz w:val="28"/>
          <w:szCs w:val="28"/>
        </w:rPr>
        <w:t xml:space="preserve">14、操作系统：兼容 Windows10系统及其以上。 </w:t>
      </w:r>
    </w:p>
    <w:p w14:paraId="324ED873">
      <w:pPr>
        <w:spacing w:line="480" w:lineRule="auto"/>
        <w:ind w:firstLine="560" w:firstLineChars="200"/>
        <w:rPr>
          <w:sz w:val="28"/>
          <w:szCs w:val="28"/>
        </w:rPr>
      </w:pPr>
      <w:r>
        <w:rPr>
          <w:rFonts w:hint="eastAsia"/>
          <w:sz w:val="28"/>
          <w:szCs w:val="28"/>
        </w:rPr>
        <w:t>15、电池：</w:t>
      </w:r>
      <w:r>
        <w:rPr>
          <w:rFonts w:hint="eastAsia"/>
          <w:sz w:val="28"/>
          <w:szCs w:val="28"/>
        </w:rPr>
        <w:tab/>
      </w:r>
      <w:r>
        <w:rPr>
          <w:rFonts w:hint="eastAsia"/>
          <w:sz w:val="28"/>
          <w:szCs w:val="28"/>
        </w:rPr>
        <w:t>采用安全性高的磷酸铁锂材质，循环寿命次数≥2000次，电池嵌入在推车底盘，带有电量指示灯，续航时间≥8小时，充满电时间≤6小时。</w:t>
      </w:r>
    </w:p>
    <w:p w14:paraId="58519B5B">
      <w:pPr>
        <w:spacing w:line="480" w:lineRule="auto"/>
        <w:ind w:firstLine="560" w:firstLineChars="200"/>
        <w:rPr>
          <w:sz w:val="28"/>
          <w:szCs w:val="28"/>
        </w:rPr>
      </w:pPr>
      <w:r>
        <w:rPr>
          <w:rFonts w:hint="eastAsia"/>
          <w:sz w:val="28"/>
          <w:szCs w:val="28"/>
        </w:rPr>
        <w:t>16、安全保护：具备过压、过流、欠压、过充、过放功能。</w:t>
      </w:r>
    </w:p>
    <w:p w14:paraId="304F3D1D">
      <w:pPr>
        <w:spacing w:line="480" w:lineRule="auto"/>
        <w:ind w:firstLine="560" w:firstLineChars="200"/>
        <w:rPr>
          <w:sz w:val="28"/>
          <w:szCs w:val="28"/>
        </w:rPr>
      </w:pPr>
      <w:r>
        <w:rPr>
          <w:rFonts w:hint="eastAsia"/>
          <w:sz w:val="28"/>
          <w:szCs w:val="28"/>
        </w:rPr>
        <w:t>17、医用环境：整车通过</w:t>
      </w:r>
      <w:bookmarkStart w:id="0" w:name="OLE_LINK1"/>
      <w:r>
        <w:rPr>
          <w:rFonts w:hint="eastAsia"/>
          <w:sz w:val="28"/>
          <w:szCs w:val="28"/>
        </w:rPr>
        <w:t>GB 9706</w:t>
      </w:r>
      <w:bookmarkEnd w:id="0"/>
      <w:r>
        <w:rPr>
          <w:rFonts w:hint="eastAsia"/>
          <w:sz w:val="28"/>
          <w:szCs w:val="28"/>
        </w:rPr>
        <w:t>医用电气设备安全检测。通过YY9706电磁兼容标准检测认证。</w:t>
      </w:r>
    </w:p>
    <w:p w14:paraId="0A9A97CE">
      <w:pPr>
        <w:spacing w:line="480" w:lineRule="auto"/>
        <w:ind w:firstLine="560" w:firstLineChars="200"/>
        <w:rPr>
          <w:sz w:val="28"/>
          <w:szCs w:val="28"/>
        </w:rPr>
      </w:pPr>
      <w:r>
        <w:rPr>
          <w:rFonts w:hint="eastAsia"/>
          <w:sz w:val="28"/>
          <w:szCs w:val="28"/>
        </w:rPr>
        <w:t>18、产品认证：产品整体具有3C认证。</w:t>
      </w:r>
    </w:p>
    <w:p w14:paraId="28C7846D">
      <w:pPr>
        <w:pStyle w:val="2"/>
        <w:numPr>
          <w:ilvl w:val="0"/>
          <w:numId w:val="0"/>
        </w:numPr>
        <w:ind w:leftChars="0"/>
        <w:rPr>
          <w:rFonts w:hint="default"/>
          <w:lang w:val="en-US" w:eastAsia="zh-CN"/>
        </w:rPr>
      </w:pPr>
      <w:r>
        <w:rPr>
          <w:rFonts w:hint="eastAsia" w:ascii="宋体" w:hAnsi="宋体" w:eastAsia="宋体" w:cs="宋体"/>
          <w:sz w:val="28"/>
          <w:szCs w:val="28"/>
          <w:lang w:val="en-US" w:eastAsia="zh-CN"/>
        </w:rPr>
        <w:t>四、实施要求：</w:t>
      </w:r>
    </w:p>
    <w:p w14:paraId="53A5BA27">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1、本次项目采购医用查房车的系统须与医院现有HIS（医院信息系统）、MNS（移动护理系统）</w:t>
      </w:r>
      <w:r>
        <w:rPr>
          <w:rFonts w:hint="eastAsia" w:ascii="Arial" w:hAnsi="Arial" w:eastAsia="宋体" w:cs="Arial"/>
          <w:b/>
          <w:bCs/>
          <w:i w:val="0"/>
          <w:iCs w:val="0"/>
          <w:caps w:val="0"/>
          <w:color w:val="000000"/>
          <w:spacing w:val="0"/>
          <w:sz w:val="30"/>
          <w:szCs w:val="30"/>
          <w:shd w:val="clear" w:fill="FFFFFF"/>
          <w:lang w:eastAsia="zh-CN"/>
        </w:rPr>
        <w:t>、</w:t>
      </w:r>
      <w:r>
        <w:rPr>
          <w:rFonts w:hint="eastAsia" w:ascii="宋体" w:hAnsi="宋体" w:eastAsia="宋体" w:cs="宋体"/>
          <w:sz w:val="28"/>
          <w:szCs w:val="28"/>
          <w:lang w:val="en-US" w:eastAsia="zh-CN"/>
        </w:rPr>
        <w:t>EMR（电子病历系PACS统）、LIS（实验室信息系统）、（医学影像存档与传输系统）等系统以及硬件设备无缝对接，其中提供</w:t>
      </w:r>
      <w:r>
        <w:rPr>
          <w:rFonts w:hint="eastAsia"/>
          <w:sz w:val="28"/>
          <w:szCs w:val="28"/>
        </w:rPr>
        <w:t>书写护理记录单，查看病历资料，相关护理评估单</w:t>
      </w:r>
      <w:r>
        <w:rPr>
          <w:rFonts w:hint="eastAsia"/>
          <w:sz w:val="28"/>
          <w:szCs w:val="28"/>
          <w:lang w:val="en-US" w:eastAsia="zh-CN"/>
        </w:rPr>
        <w:t>等功能，达到护士可在查房车上完成护理评估记录、生命体征录入、执行医嘱确认、护理计划制定等工作，无需频繁返回固定工作站，</w:t>
      </w:r>
      <w:r>
        <w:rPr>
          <w:rFonts w:hint="eastAsia" w:ascii="宋体" w:hAnsi="宋体" w:eastAsia="宋体" w:cs="宋体"/>
          <w:sz w:val="28"/>
          <w:szCs w:val="28"/>
          <w:lang w:val="en-US" w:eastAsia="zh-CN"/>
        </w:rPr>
        <w:t>另外根据医院科室需求进行开发修改，相关系统对接接口费用由中标供应商承担。</w:t>
      </w:r>
    </w:p>
    <w:p w14:paraId="65424180">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2、项目完成时间：自合同签订之日起90天内,完成所有采购项目的到货、安装、调试；</w:t>
      </w:r>
    </w:p>
    <w:p w14:paraId="74FB249C">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3、实施地点：采购人指定地点；</w:t>
      </w:r>
    </w:p>
    <w:p w14:paraId="027E4C7F">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4、培训：负责软、硬件使用培训，若软、硬件有更改需进行重新培训。</w:t>
      </w:r>
    </w:p>
    <w:p w14:paraId="1DD2F7CD">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5、供应商方须按项目需求提供详细的实施方案，包括但不限于管理方案、实施组织、管理办法、进度计划和应急方案等。并承诺在实施过程中进行跟踪和控制，定时总结并汇报实施进度。</w:t>
      </w:r>
    </w:p>
    <w:p w14:paraId="6805E3DF">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6、在项目实施过程中，如果合同中的技术指标不能满足采购人实施需求，采购人按实际需求调整技术指标、业务功能等，可提出变更。</w:t>
      </w:r>
    </w:p>
    <w:p w14:paraId="79E92F8C">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7、成交供货商保证所提供的货物、服务、设计方案、软件系统等不侵犯第三方的知识产权。如果第三方提出侵权指控，成交供应商应承担由此而引起的一切法律责任和费用。</w:t>
      </w:r>
    </w:p>
    <w:p w14:paraId="04841E49">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8、中标人需要将所有投标的产品安装调试完好达到采购人要求的使用需求后，并移交采购人，过程涉及的所有安装、调试、设备对接、网络布线等费用包含在总价中。</w:t>
      </w:r>
    </w:p>
    <w:p w14:paraId="128A3BC9">
      <w:pPr>
        <w:pStyle w:val="2"/>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9、中标方在项目移交前需配合甲方要求完成项目成果移交工作，包括:</w:t>
      </w:r>
    </w:p>
    <w:p w14:paraId="4B694D80">
      <w:pPr>
        <w:pStyle w:val="2"/>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包括但不仅限于产品质量文件、需求分析文档、设计文档、运维文档、用户手册、试运行报告、项目总结和项目验收报告等。</w:t>
      </w:r>
    </w:p>
    <w:p w14:paraId="1EEFF570">
      <w:pPr>
        <w:pStyle w:val="2"/>
        <w:numPr>
          <w:ilvl w:val="0"/>
          <w:numId w:val="0"/>
        </w:numPr>
        <w:ind w:leftChars="0" w:firstLine="560" w:firstLineChars="200"/>
        <w:rPr>
          <w:rFonts w:hint="eastAsia" w:ascii="宋体" w:hAnsi="宋体" w:eastAsia="宋体" w:cs="宋体"/>
          <w:sz w:val="28"/>
          <w:szCs w:val="28"/>
          <w:lang w:val="en-US" w:eastAsia="zh-CN"/>
        </w:rPr>
      </w:pPr>
    </w:p>
    <w:p w14:paraId="0B66D9DC">
      <w:pPr>
        <w:widowControl/>
        <w:numPr>
          <w:ilvl w:val="0"/>
          <w:numId w:val="0"/>
        </w:numPr>
        <w:spacing w:line="360" w:lineRule="auto"/>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五、</w:t>
      </w:r>
      <w:r>
        <w:rPr>
          <w:rFonts w:hint="eastAsia" w:ascii="宋体" w:hAnsi="宋体" w:eastAsia="宋体" w:cs="宋体"/>
          <w:color w:val="000000"/>
          <w:kern w:val="0"/>
          <w:sz w:val="28"/>
          <w:szCs w:val="28"/>
          <w:lang w:bidi="ar"/>
        </w:rPr>
        <w:t>服务要求</w:t>
      </w:r>
    </w:p>
    <w:p w14:paraId="18E12F8C">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1、质保期内，供应商需保证7*24小时的服务响应，响应时间不得低于如下标准：接到医院的通知后1小时内必须做出明确的响应和安排；需提供现场服务的， 供应商应在6小时内到达现场（市外24小时内到达现场）进行处理，确保产品正常工作；无法在24小时内解决的，应提供解决方案并在48小时内提供备用产品，保证产品能够正常使用。</w:t>
      </w:r>
    </w:p>
    <w:p w14:paraId="0762A7AE">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2、在质保期内，如果供应商的产品技术升级，供应商应及时通知采购人，如采购人有相应要求，供应商应对采购人购买的产品进行升级服务，不得收取额外费用。</w:t>
      </w:r>
    </w:p>
    <w:p w14:paraId="33791883">
      <w:pPr>
        <w:pStyle w:val="2"/>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、成交供应商需要将所有投标的产品安装调试完好达到采购人要求的使用需求后，并移交采购人，过程涉及的所有安装、调试、对接等费用包含在总价中。</w:t>
      </w:r>
    </w:p>
    <w:p w14:paraId="2F545230">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、未</w:t>
      </w:r>
      <w:r>
        <w:rPr>
          <w:rFonts w:hint="eastAsia" w:ascii="宋体" w:hAnsi="宋体" w:eastAsia="宋体" w:cs="宋体"/>
          <w:color w:val="000000"/>
          <w:sz w:val="28"/>
          <w:szCs w:val="28"/>
        </w:rPr>
        <w:t>经院方书面同意，</w:t>
      </w:r>
      <w:r>
        <w:rPr>
          <w:rFonts w:hint="eastAsia" w:ascii="宋体" w:hAnsi="宋体" w:eastAsia="宋体" w:cs="宋体"/>
          <w:sz w:val="28"/>
          <w:szCs w:val="28"/>
        </w:rPr>
        <w:t>中标人</w:t>
      </w:r>
      <w:r>
        <w:rPr>
          <w:rFonts w:hint="eastAsia" w:ascii="宋体" w:hAnsi="宋体" w:eastAsia="宋体" w:cs="宋体"/>
          <w:color w:val="000000"/>
          <w:sz w:val="28"/>
          <w:szCs w:val="28"/>
        </w:rPr>
        <w:t>不得以任何方式向第三方披露、转认或许可使用本项目有关的技术成果、秘密信息、技术资料等</w:t>
      </w:r>
      <w:r>
        <w:rPr>
          <w:rFonts w:hint="eastAsia" w:ascii="宋体" w:hAnsi="宋体" w:eastAsia="宋体" w:cs="宋体"/>
          <w:sz w:val="28"/>
          <w:szCs w:val="28"/>
        </w:rPr>
        <w:t>。</w:t>
      </w:r>
    </w:p>
    <w:p w14:paraId="16C33B92">
      <w:pPr>
        <w:pStyle w:val="2"/>
        <w:numPr>
          <w:ilvl w:val="0"/>
          <w:numId w:val="0"/>
        </w:numPr>
        <w:ind w:leftChars="0"/>
        <w:rPr>
          <w:rFonts w:hint="eastAsia"/>
        </w:rPr>
      </w:pPr>
    </w:p>
    <w:p w14:paraId="261D4885">
      <w:pPr>
        <w:widowControl/>
        <w:numPr>
          <w:ilvl w:val="0"/>
          <w:numId w:val="0"/>
        </w:numPr>
        <w:spacing w:line="360" w:lineRule="auto"/>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六、</w:t>
      </w:r>
      <w:r>
        <w:rPr>
          <w:rFonts w:hint="eastAsia" w:ascii="宋体" w:hAnsi="宋体" w:eastAsia="宋体" w:cs="宋体"/>
          <w:color w:val="000000"/>
          <w:kern w:val="0"/>
          <w:sz w:val="28"/>
          <w:szCs w:val="28"/>
          <w:lang w:bidi="ar"/>
        </w:rPr>
        <w:t>质保要求</w:t>
      </w:r>
    </w:p>
    <w:p w14:paraId="21125C3F">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质保期自项目交付并终验合格之日起计算，提供软件一年、硬件三年的售后免费质保服务，软件缺陷终生免费修复，硬件如果出现质量问题，中标人应当无条件更换，由于质量问题造成的损失由中标人负全部责任。</w:t>
      </w:r>
    </w:p>
    <w:p w14:paraId="16BDEF71">
      <w:pPr>
        <w:pStyle w:val="2"/>
        <w:numPr>
          <w:ilvl w:val="0"/>
          <w:numId w:val="0"/>
        </w:numPr>
        <w:ind w:leftChars="0"/>
        <w:rPr>
          <w:rFonts w:hint="eastAsia" w:ascii="宋体" w:hAnsi="宋体" w:eastAsia="宋体" w:cs="宋体"/>
          <w:sz w:val="28"/>
          <w:szCs w:val="28"/>
          <w:lang w:val="en-US" w:eastAsia="zh-CN"/>
        </w:rPr>
      </w:pPr>
    </w:p>
    <w:p w14:paraId="5E430951">
      <w:pPr>
        <w:rPr>
          <w:rFonts w:hint="default" w:ascii="宋体" w:hAnsi="宋体" w:eastAsia="宋体" w:cs="宋体"/>
          <w:sz w:val="28"/>
          <w:szCs w:val="28"/>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9279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DE506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DE506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5E46B"/>
    <w:multiLevelType w:val="singleLevel"/>
    <w:tmpl w:val="8BC5E46B"/>
    <w:lvl w:ilvl="0" w:tentative="0">
      <w:start w:val="1"/>
      <w:numFmt w:val="decimal"/>
      <w:pStyle w:val="2"/>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035440"/>
    <w:rsid w:val="097F533A"/>
    <w:rsid w:val="0D6F0D16"/>
    <w:rsid w:val="0D7734F6"/>
    <w:rsid w:val="10F03E7D"/>
    <w:rsid w:val="15F555B1"/>
    <w:rsid w:val="16097940"/>
    <w:rsid w:val="1A5C1E66"/>
    <w:rsid w:val="21222D6A"/>
    <w:rsid w:val="29D741B2"/>
    <w:rsid w:val="31D03048"/>
    <w:rsid w:val="36A35D43"/>
    <w:rsid w:val="3B676617"/>
    <w:rsid w:val="3C3210A3"/>
    <w:rsid w:val="43F94D92"/>
    <w:rsid w:val="46FC6C06"/>
    <w:rsid w:val="4BBD33CE"/>
    <w:rsid w:val="4C2E0A50"/>
    <w:rsid w:val="558A101B"/>
    <w:rsid w:val="5A035440"/>
    <w:rsid w:val="5C5D6CB6"/>
    <w:rsid w:val="6523320D"/>
    <w:rsid w:val="65624B6D"/>
    <w:rsid w:val="6CDB7686"/>
    <w:rsid w:val="6CE42CE2"/>
    <w:rsid w:val="6CF42E42"/>
    <w:rsid w:val="6E881964"/>
    <w:rsid w:val="76010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List Number"/>
    <w:basedOn w:val="1"/>
    <w:qFormat/>
    <w:uiPriority w:val="0"/>
    <w:pPr>
      <w:numPr>
        <w:ilvl w:val="0"/>
        <w:numId w:val="1"/>
      </w:numPr>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1978</Words>
  <Characters>2126</Characters>
  <Lines>0</Lines>
  <Paragraphs>0</Paragraphs>
  <TotalTime>0</TotalTime>
  <ScaleCrop>false</ScaleCrop>
  <LinksUpToDate>false</LinksUpToDate>
  <CharactersWithSpaces>2144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2025-06-20T07:23:00Z</dcterms:created>
  <dc:creator>黑眼有个圈ᘑ.</dc:creator>
  <cp:lastModifiedBy>w</cp:lastModifiedBy>
  <dcterms:modified xsi:type="dcterms:W3CDTF">2025-08-12T03:31:06Z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11BB92809E4743A1AFBAF3A227CC7AA0_13</vt:lpwstr>
  </property>
  <property fmtid="{D5CDD505-2E9C-101B-9397-08002B2CF9AE}" pid="4" name="KSOTemplateDocerSaveRecord">
    <vt:lpwstr>eyJoZGlkIjoiZWNjMzNjMTFhMDhjMmYyMjVlNGE1MjBlNWM1Yzc5YTMiLCJ1c2VySWQiOiIzMDg4Mzg0MTkifQ==</vt:lpwstr>
  </property>
</Properties>
</file>