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541FD">
      <w:pPr>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湛江市第一中医医院2026-2027年度医疗责任保险需求书</w:t>
      </w:r>
    </w:p>
    <w:p w14:paraId="792F1BF8">
      <w:pPr>
        <w:jc w:val="both"/>
        <w:rPr>
          <w:rFonts w:hint="eastAsia" w:ascii="仿宋" w:hAnsi="仿宋" w:eastAsia="仿宋" w:cs="仿宋"/>
          <w:b/>
          <w:bCs/>
          <w:sz w:val="32"/>
          <w:szCs w:val="32"/>
          <w:lang w:val="en-US" w:eastAsia="zh-CN"/>
        </w:rPr>
      </w:pPr>
    </w:p>
    <w:p w14:paraId="0E495133">
      <w:pPr>
        <w:jc w:val="both"/>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一、项目概况（医院简介）：</w:t>
      </w:r>
    </w:p>
    <w:p w14:paraId="39108C51">
      <w:pPr>
        <w:ind w:firstLine="640" w:firstLineChars="200"/>
        <w:rPr>
          <w:rFonts w:hint="eastAsia" w:ascii="仿宋" w:hAnsi="仿宋" w:eastAsia="仿宋" w:cs="仿宋"/>
          <w:sz w:val="32"/>
          <w:szCs w:val="32"/>
        </w:rPr>
      </w:pPr>
      <w:r>
        <w:rPr>
          <w:rFonts w:hint="eastAsia" w:ascii="仿宋" w:hAnsi="仿宋" w:eastAsia="仿宋" w:cs="仿宋"/>
          <w:sz w:val="32"/>
          <w:szCs w:val="32"/>
        </w:rPr>
        <w:t>湛江市第一中医医院创建于1968年，前身为湛江地区中医院，是粤西地区建院较早、规模较大，集医疗救护、科研教学、预防保健、康复护老于一体的国家三级甲等中医院，是广州中医药大学非直属附属医院，医院先后获评国家重点中医医院建设单位、首批省中医名院，2021年获全省公立医院党建“四有”工程示范点。2024年5月，医院新院区正式投入使用；2026年，医院与麻章区人民医院签订合作协议，医院发展正式迈入全新的历史阶段，综合服务实力与区域影响力持续提升。目前医院占地面积33亩，建筑面积10.4万平方米，设有门诊部、住院部、爱周分院、护老院、康复治疗部和百园路门诊，开设开设35个临床科室、40个专病专科门诊、57个亚专科门诊，创建5大中西医结合中心，编制床位1000张，</w:t>
      </w:r>
      <w:r>
        <w:rPr>
          <w:rFonts w:hint="eastAsia" w:ascii="仿宋" w:hAnsi="仿宋" w:eastAsia="仿宋" w:cs="仿宋"/>
          <w:sz w:val="32"/>
          <w:szCs w:val="32"/>
          <w:lang w:val="en-US" w:eastAsia="zh-CN"/>
        </w:rPr>
        <w:t>现开放床位818张，</w:t>
      </w:r>
      <w:r>
        <w:rPr>
          <w:rFonts w:hint="eastAsia" w:ascii="仿宋" w:hAnsi="仿宋" w:eastAsia="仿宋" w:cs="仿宋"/>
          <w:sz w:val="32"/>
          <w:szCs w:val="32"/>
        </w:rPr>
        <w:t>年门诊量超55万人次。</w:t>
      </w:r>
    </w:p>
    <w:p w14:paraId="64D9CFD5">
      <w:pPr>
        <w:rPr>
          <w:rFonts w:hint="eastAsia" w:ascii="仿宋" w:hAnsi="仿宋" w:eastAsia="仿宋" w:cs="仿宋"/>
          <w:sz w:val="32"/>
          <w:szCs w:val="32"/>
        </w:rPr>
      </w:pPr>
      <w:r>
        <w:rPr>
          <w:rFonts w:hint="eastAsia" w:ascii="仿宋" w:hAnsi="仿宋" w:eastAsia="仿宋" w:cs="仿宋"/>
          <w:sz w:val="32"/>
          <w:szCs w:val="32"/>
        </w:rPr>
        <w:t>医院现有职工1042人，其中卫生专业技术人员904人，占比86.76%，高级职称154人，中级职称323人，中高级职称占比52.8%。博士后1名，博士5名，硕士研究生94名。柔性引进唐祖宣、黄瑾明两位国医大师团队，同时引进省级陈文治脊柱专家团队、庄礼兴岭南火针专家团队、陈兴华靳三针疗法专家团队、白遵光中医泌尿外科团队等：拥有省名中医2名、市名中医15名、广东省杰出青年医学人才2名：建有国医大师工作室2个、省市名医传承工作室5个、博士工作站1个。</w:t>
      </w:r>
    </w:p>
    <w:p w14:paraId="0F397A36">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我院2026年度的医疗责任保险合同于2026年9月15日到期，</w:t>
      </w:r>
      <w:r>
        <w:rPr>
          <w:rFonts w:hint="eastAsia" w:ascii="仿宋" w:hAnsi="仿宋" w:eastAsia="仿宋" w:cs="仿宋"/>
          <w:sz w:val="32"/>
          <w:szCs w:val="32"/>
        </w:rPr>
        <w:t>为进一步贯彻落实</w:t>
      </w:r>
      <w:r>
        <w:rPr>
          <w:rFonts w:hint="eastAsia" w:ascii="仿宋" w:hAnsi="仿宋" w:eastAsia="仿宋" w:cs="仿宋"/>
          <w:sz w:val="32"/>
          <w:szCs w:val="32"/>
          <w:lang w:val="en-US" w:eastAsia="zh-CN"/>
        </w:rPr>
        <w:t>卫健委</w:t>
      </w:r>
      <w:r>
        <w:rPr>
          <w:rFonts w:hint="eastAsia" w:ascii="仿宋" w:hAnsi="仿宋" w:eastAsia="仿宋" w:cs="仿宋"/>
          <w:sz w:val="32"/>
          <w:szCs w:val="32"/>
        </w:rPr>
        <w:t>，国家中医药管理局和中国保监会《关于推动医疗责任保险有关问题的通知》、广东省司法厅、广东省</w:t>
      </w:r>
      <w:r>
        <w:rPr>
          <w:rFonts w:hint="eastAsia" w:ascii="仿宋" w:hAnsi="仿宋" w:eastAsia="仿宋" w:cs="仿宋"/>
          <w:sz w:val="32"/>
          <w:szCs w:val="32"/>
          <w:lang w:val="en-US" w:eastAsia="zh-CN"/>
        </w:rPr>
        <w:t>卫健委</w:t>
      </w:r>
      <w:r>
        <w:rPr>
          <w:rFonts w:hint="eastAsia" w:ascii="仿宋" w:hAnsi="仿宋" w:eastAsia="仿宋" w:cs="仿宋"/>
          <w:sz w:val="32"/>
          <w:szCs w:val="32"/>
        </w:rPr>
        <w:t>、广东保监局《关于加强医疗纠纷人民调解工作的实施意见》和广东省</w:t>
      </w:r>
      <w:r>
        <w:rPr>
          <w:rFonts w:hint="eastAsia" w:ascii="仿宋" w:hAnsi="仿宋" w:eastAsia="仿宋" w:cs="仿宋"/>
          <w:sz w:val="32"/>
          <w:szCs w:val="32"/>
          <w:lang w:val="en-US" w:eastAsia="zh-CN"/>
        </w:rPr>
        <w:t>卫健委</w:t>
      </w:r>
      <w:r>
        <w:rPr>
          <w:rFonts w:hint="eastAsia" w:ascii="仿宋" w:hAnsi="仿宋" w:eastAsia="仿宋" w:cs="仿宋"/>
          <w:sz w:val="32"/>
          <w:szCs w:val="32"/>
        </w:rPr>
        <w:t>《进一步做好医疗责任保险投保工作的通知》</w:t>
      </w:r>
      <w:r>
        <w:rPr>
          <w:rFonts w:hint="eastAsia" w:ascii="仿宋" w:hAnsi="仿宋" w:eastAsia="仿宋" w:cs="仿宋"/>
          <w:sz w:val="32"/>
          <w:szCs w:val="32"/>
          <w:lang w:eastAsia="zh-CN"/>
        </w:rPr>
        <w:t>的</w:t>
      </w:r>
      <w:r>
        <w:rPr>
          <w:rFonts w:hint="eastAsia" w:ascii="仿宋" w:hAnsi="仿宋" w:eastAsia="仿宋" w:cs="仿宋"/>
          <w:sz w:val="32"/>
          <w:szCs w:val="32"/>
          <w:lang w:val="en-US" w:eastAsia="zh-CN"/>
        </w:rPr>
        <w:t>文件精神，执行</w:t>
      </w:r>
      <w:r>
        <w:rPr>
          <w:rFonts w:hint="eastAsia" w:ascii="仿宋" w:hAnsi="仿宋" w:eastAsia="仿宋" w:cs="仿宋"/>
          <w:sz w:val="32"/>
          <w:szCs w:val="32"/>
          <w:lang w:eastAsia="zh-CN"/>
        </w:rPr>
        <w:t>2022年3月1日实施的《中华人民共和国医师法》</w:t>
      </w:r>
      <w:r>
        <w:rPr>
          <w:rFonts w:hint="eastAsia" w:ascii="仿宋" w:hAnsi="仿宋" w:eastAsia="仿宋" w:cs="仿宋"/>
          <w:sz w:val="32"/>
          <w:szCs w:val="32"/>
          <w:lang w:val="en-US" w:eastAsia="zh-CN"/>
        </w:rPr>
        <w:t>有关医疗风险分担机制</w:t>
      </w:r>
      <w:r>
        <w:rPr>
          <w:rFonts w:hint="eastAsia" w:ascii="仿宋" w:hAnsi="仿宋" w:eastAsia="仿宋" w:cs="仿宋"/>
          <w:sz w:val="32"/>
          <w:szCs w:val="32"/>
          <w:lang w:eastAsia="zh-CN"/>
        </w:rPr>
        <w:t>的</w:t>
      </w:r>
      <w:r>
        <w:rPr>
          <w:rFonts w:hint="eastAsia" w:ascii="仿宋" w:hAnsi="仿宋" w:eastAsia="仿宋" w:cs="仿宋"/>
          <w:sz w:val="32"/>
          <w:szCs w:val="32"/>
          <w:lang w:val="en-US" w:eastAsia="zh-CN"/>
        </w:rPr>
        <w:t>规定</w:t>
      </w:r>
      <w:r>
        <w:rPr>
          <w:rFonts w:hint="eastAsia" w:ascii="仿宋" w:hAnsi="仿宋" w:eastAsia="仿宋" w:cs="仿宋"/>
          <w:sz w:val="32"/>
          <w:szCs w:val="32"/>
          <w:lang w:eastAsia="zh-CN"/>
        </w:rPr>
        <w:t>（第五十二条国家建立完善医疗风险分担机制。医疗机构应当参加医疗责任保险）</w:t>
      </w:r>
      <w:r>
        <w:rPr>
          <w:rFonts w:hint="eastAsia" w:ascii="仿宋" w:hAnsi="仿宋" w:eastAsia="仿宋" w:cs="仿宋"/>
          <w:sz w:val="32"/>
          <w:szCs w:val="32"/>
        </w:rPr>
        <w:t>，</w:t>
      </w:r>
      <w:r>
        <w:rPr>
          <w:rFonts w:hint="eastAsia" w:ascii="仿宋" w:hAnsi="仿宋" w:eastAsia="仿宋" w:cs="仿宋"/>
          <w:sz w:val="32"/>
          <w:szCs w:val="32"/>
          <w:lang w:val="en-US" w:eastAsia="zh-CN"/>
        </w:rPr>
        <w:t>为</w:t>
      </w:r>
      <w:r>
        <w:rPr>
          <w:rFonts w:hint="eastAsia" w:ascii="仿宋" w:hAnsi="仿宋" w:eastAsia="仿宋" w:cs="仿宋"/>
          <w:sz w:val="32"/>
          <w:szCs w:val="32"/>
          <w:lang w:val="en-US" w:eastAsia="zh-CN"/>
        </w:rPr>
        <w:t>分担医疗责任风险，保障医院保险利益和保险连续性，</w:t>
      </w:r>
      <w:r>
        <w:rPr>
          <w:rFonts w:hint="eastAsia" w:ascii="仿宋" w:hAnsi="仿宋" w:eastAsia="仿宋" w:cs="仿宋"/>
          <w:sz w:val="32"/>
          <w:szCs w:val="32"/>
          <w:lang w:eastAsia="zh-CN"/>
        </w:rPr>
        <w:t>更好</w:t>
      </w:r>
      <w:r>
        <w:rPr>
          <w:rFonts w:hint="eastAsia" w:ascii="仿宋" w:hAnsi="仿宋" w:eastAsia="仿宋" w:cs="仿宋"/>
          <w:sz w:val="32"/>
          <w:szCs w:val="32"/>
        </w:rPr>
        <w:t>地解决医疗纠纷，</w:t>
      </w:r>
      <w:r>
        <w:rPr>
          <w:rFonts w:hint="eastAsia" w:ascii="仿宋" w:hAnsi="仿宋" w:eastAsia="仿宋" w:cs="仿宋"/>
          <w:sz w:val="32"/>
          <w:szCs w:val="32"/>
          <w:lang w:val="en-US" w:eastAsia="zh-CN"/>
        </w:rPr>
        <w:t>现需为下一年度</w:t>
      </w:r>
      <w:r>
        <w:rPr>
          <w:rFonts w:hint="eastAsia" w:ascii="仿宋" w:hAnsi="仿宋" w:eastAsia="仿宋" w:cs="仿宋"/>
          <w:sz w:val="32"/>
          <w:szCs w:val="32"/>
        </w:rPr>
        <w:t>医疗责任保险项目选择合适的保险提供方。</w:t>
      </w:r>
    </w:p>
    <w:p w14:paraId="46DEF60C">
      <w:pPr>
        <w:jc w:val="both"/>
        <w:rPr>
          <w:rFonts w:hint="eastAsia" w:ascii="仿宋" w:hAnsi="仿宋" w:eastAsia="仿宋" w:cs="仿宋"/>
          <w:b/>
          <w:bCs/>
          <w:sz w:val="32"/>
          <w:szCs w:val="32"/>
          <w:lang w:val="en-US" w:eastAsia="zh-CN"/>
        </w:rPr>
      </w:pPr>
      <w:bookmarkStart w:id="0" w:name="_Toc2947"/>
      <w:r>
        <w:rPr>
          <w:rFonts w:hint="eastAsia" w:ascii="仿宋" w:hAnsi="仿宋" w:eastAsia="仿宋" w:cs="仿宋"/>
          <w:b/>
          <w:bCs/>
          <w:sz w:val="32"/>
          <w:szCs w:val="32"/>
          <w:lang w:val="en-US" w:eastAsia="zh-CN"/>
        </w:rPr>
        <w:t>二、项目内容及要求：</w:t>
      </w:r>
      <w:bookmarkEnd w:id="0"/>
    </w:p>
    <w:tbl>
      <w:tblPr>
        <w:tblStyle w:val="6"/>
        <w:tblpPr w:leftFromText="180" w:rightFromText="180" w:vertAnchor="text" w:horzAnchor="page" w:tblpX="1762" w:tblpY="263"/>
        <w:tblOverlap w:val="never"/>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7"/>
        <w:gridCol w:w="1693"/>
        <w:gridCol w:w="3846"/>
        <w:gridCol w:w="713"/>
      </w:tblGrid>
      <w:tr w14:paraId="3DC4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2307" w:type="dxa"/>
            <w:noWrap w:val="0"/>
            <w:vAlign w:val="center"/>
          </w:tcPr>
          <w:p w14:paraId="7156494E">
            <w:pPr>
              <w:tabs>
                <w:tab w:val="left" w:pos="360"/>
              </w:tabs>
              <w:spacing w:line="400" w:lineRule="exact"/>
              <w:jc w:val="center"/>
              <w:rPr>
                <w:rFonts w:hint="eastAsia" w:ascii="宋体" w:hAnsi="宋体" w:cs="宋体"/>
                <w:szCs w:val="21"/>
              </w:rPr>
            </w:pPr>
            <w:r>
              <w:rPr>
                <w:rFonts w:hint="eastAsia" w:ascii="宋体" w:hAnsi="宋体" w:cs="宋体"/>
                <w:szCs w:val="21"/>
              </w:rPr>
              <w:t>采购内容</w:t>
            </w:r>
          </w:p>
        </w:tc>
        <w:tc>
          <w:tcPr>
            <w:tcW w:w="1693" w:type="dxa"/>
            <w:noWrap w:val="0"/>
            <w:vAlign w:val="center"/>
          </w:tcPr>
          <w:p w14:paraId="2AD7A181">
            <w:pPr>
              <w:tabs>
                <w:tab w:val="left" w:pos="360"/>
              </w:tabs>
              <w:spacing w:line="400" w:lineRule="exact"/>
              <w:jc w:val="center"/>
              <w:rPr>
                <w:rFonts w:hint="eastAsia" w:ascii="宋体" w:hAnsi="宋体" w:eastAsia="宋体" w:cs="宋体"/>
                <w:szCs w:val="21"/>
                <w:lang w:eastAsia="zh-CN"/>
              </w:rPr>
            </w:pPr>
            <w:r>
              <w:rPr>
                <w:rFonts w:hint="eastAsia" w:ascii="宋体" w:hAnsi="宋体" w:cs="宋体"/>
                <w:szCs w:val="21"/>
              </w:rPr>
              <w:t>采购预算</w:t>
            </w:r>
          </w:p>
        </w:tc>
        <w:tc>
          <w:tcPr>
            <w:tcW w:w="3846" w:type="dxa"/>
            <w:noWrap w:val="0"/>
            <w:vAlign w:val="center"/>
          </w:tcPr>
          <w:p w14:paraId="775B021E">
            <w:pPr>
              <w:tabs>
                <w:tab w:val="left" w:pos="360"/>
              </w:tabs>
              <w:spacing w:line="400" w:lineRule="exact"/>
              <w:jc w:val="center"/>
              <w:rPr>
                <w:rFonts w:hint="eastAsia" w:ascii="宋体" w:hAnsi="宋体" w:cs="宋体"/>
                <w:szCs w:val="21"/>
              </w:rPr>
            </w:pPr>
            <w:r>
              <w:rPr>
                <w:rFonts w:hint="eastAsia" w:ascii="宋体" w:hAnsi="宋体" w:cs="宋体"/>
                <w:szCs w:val="21"/>
              </w:rPr>
              <w:t>服务期限</w:t>
            </w:r>
          </w:p>
        </w:tc>
        <w:tc>
          <w:tcPr>
            <w:tcW w:w="713" w:type="dxa"/>
            <w:noWrap w:val="0"/>
            <w:vAlign w:val="center"/>
          </w:tcPr>
          <w:p w14:paraId="39DD4B8A">
            <w:pPr>
              <w:tabs>
                <w:tab w:val="left" w:pos="360"/>
              </w:tabs>
              <w:spacing w:line="400" w:lineRule="exact"/>
              <w:jc w:val="center"/>
              <w:rPr>
                <w:rFonts w:hint="eastAsia" w:ascii="宋体" w:hAnsi="宋体" w:cs="宋体"/>
                <w:szCs w:val="21"/>
              </w:rPr>
            </w:pPr>
            <w:r>
              <w:rPr>
                <w:rFonts w:hint="eastAsia" w:ascii="宋体" w:hAnsi="宋体" w:cs="宋体"/>
                <w:szCs w:val="21"/>
              </w:rPr>
              <w:t>备注</w:t>
            </w:r>
          </w:p>
        </w:tc>
      </w:tr>
      <w:tr w14:paraId="3A34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307" w:type="dxa"/>
            <w:noWrap w:val="0"/>
            <w:vAlign w:val="center"/>
          </w:tcPr>
          <w:p w14:paraId="173B52CB">
            <w:pPr>
              <w:tabs>
                <w:tab w:val="left" w:pos="360"/>
              </w:tabs>
              <w:spacing w:line="400" w:lineRule="exact"/>
              <w:jc w:val="center"/>
              <w:rPr>
                <w:rFonts w:hint="eastAsia" w:ascii="宋体" w:hAnsi="宋体" w:eastAsia="宋体" w:cs="宋体"/>
                <w:szCs w:val="21"/>
              </w:rPr>
            </w:pPr>
            <w:r>
              <w:rPr>
                <w:rFonts w:hint="eastAsia" w:ascii="宋体" w:hAnsi="宋体" w:eastAsia="宋体" w:cs="宋体"/>
                <w:szCs w:val="21"/>
              </w:rPr>
              <w:t>医疗责任保险</w:t>
            </w:r>
          </w:p>
        </w:tc>
        <w:tc>
          <w:tcPr>
            <w:tcW w:w="1693" w:type="dxa"/>
            <w:noWrap w:val="0"/>
            <w:vAlign w:val="center"/>
          </w:tcPr>
          <w:p w14:paraId="38716A8B">
            <w:pPr>
              <w:tabs>
                <w:tab w:val="left" w:pos="360"/>
              </w:tabs>
              <w:spacing w:line="400" w:lineRule="exact"/>
              <w:jc w:val="center"/>
              <w:rPr>
                <w:rFonts w:hint="default" w:ascii="宋体" w:hAnsi="宋体" w:eastAsia="宋体" w:cs="宋体"/>
                <w:szCs w:val="21"/>
                <w:lang w:val="en-US" w:eastAsia="zh-CN"/>
              </w:rPr>
            </w:pPr>
            <w:r>
              <w:rPr>
                <w:rFonts w:hint="eastAsia" w:ascii="宋体" w:hAnsi="宋体" w:eastAsia="宋体" w:cs="宋体"/>
                <w:szCs w:val="21"/>
                <w:highlight w:val="none"/>
                <w:u w:val="none"/>
                <w:lang w:val="en-US" w:eastAsia="zh-CN"/>
              </w:rPr>
              <w:t>693000.00元</w:t>
            </w:r>
          </w:p>
        </w:tc>
        <w:tc>
          <w:tcPr>
            <w:tcW w:w="3846" w:type="dxa"/>
            <w:noWrap w:val="0"/>
            <w:vAlign w:val="center"/>
          </w:tcPr>
          <w:p w14:paraId="72200B3F">
            <w:pPr>
              <w:tabs>
                <w:tab w:val="left" w:pos="360"/>
              </w:tabs>
              <w:spacing w:line="400" w:lineRule="exact"/>
              <w:jc w:val="center"/>
              <w:rPr>
                <w:rFonts w:hint="eastAsia" w:ascii="宋体" w:hAnsi="宋体" w:eastAsia="宋体" w:cs="宋体"/>
                <w:szCs w:val="21"/>
                <w:lang w:eastAsia="zh-CN"/>
              </w:rPr>
            </w:pPr>
            <w:r>
              <w:rPr>
                <w:rFonts w:hint="eastAsia" w:ascii="宋体" w:hAnsi="宋体" w:eastAsia="宋体"/>
                <w:szCs w:val="21"/>
                <w:lang w:val="en-US" w:eastAsia="zh-CN"/>
              </w:rPr>
              <w:t>一年、拟</w:t>
            </w:r>
            <w:r>
              <w:t>自202</w:t>
            </w:r>
            <w:r>
              <w:rPr>
                <w:rFonts w:hint="eastAsia"/>
                <w:lang w:val="en-US" w:eastAsia="zh-CN"/>
              </w:rPr>
              <w:t>6</w:t>
            </w:r>
            <w:r>
              <w:t>年0</w:t>
            </w:r>
            <w:r>
              <w:rPr>
                <w:rFonts w:hint="eastAsia"/>
                <w:lang w:val="en-US" w:eastAsia="zh-CN"/>
              </w:rPr>
              <w:t>9</w:t>
            </w:r>
            <w:r>
              <w:t>月</w:t>
            </w:r>
            <w:r>
              <w:rPr>
                <w:rFonts w:hint="eastAsia"/>
                <w:lang w:val="en-US" w:eastAsia="zh-CN"/>
              </w:rPr>
              <w:t>15</w:t>
            </w:r>
            <w:r>
              <w:t>日零时起至202</w:t>
            </w:r>
            <w:r>
              <w:rPr>
                <w:rFonts w:hint="eastAsia"/>
                <w:lang w:val="en-US" w:eastAsia="zh-CN"/>
              </w:rPr>
              <w:t>7</w:t>
            </w:r>
            <w:r>
              <w:t>年0</w:t>
            </w:r>
            <w:r>
              <w:rPr>
                <w:rFonts w:hint="eastAsia"/>
                <w:lang w:val="en-US" w:eastAsia="zh-CN"/>
              </w:rPr>
              <w:t>9</w:t>
            </w:r>
            <w:r>
              <w:t>月</w:t>
            </w:r>
            <w:r>
              <w:rPr>
                <w:rFonts w:hint="eastAsia"/>
                <w:lang w:val="en-US" w:eastAsia="zh-CN"/>
              </w:rPr>
              <w:t>14</w:t>
            </w:r>
            <w:r>
              <w:t>日二十四时止。</w:t>
            </w:r>
          </w:p>
        </w:tc>
        <w:tc>
          <w:tcPr>
            <w:tcW w:w="713" w:type="dxa"/>
            <w:noWrap w:val="0"/>
            <w:vAlign w:val="center"/>
          </w:tcPr>
          <w:p w14:paraId="7CFF4B66">
            <w:pPr>
              <w:tabs>
                <w:tab w:val="left" w:pos="360"/>
              </w:tabs>
              <w:spacing w:line="400" w:lineRule="exact"/>
              <w:jc w:val="center"/>
              <w:rPr>
                <w:rFonts w:hint="eastAsia" w:ascii="宋体" w:hAnsi="宋体" w:eastAsia="宋体"/>
                <w:szCs w:val="21"/>
                <w:u w:val="single"/>
                <w:lang w:val="en-US" w:eastAsia="zh-CN"/>
              </w:rPr>
            </w:pPr>
          </w:p>
        </w:tc>
      </w:tr>
    </w:tbl>
    <w:p w14:paraId="4624F6CD">
      <w:pPr>
        <w:numPr>
          <w:numId w:val="0"/>
        </w:numPr>
        <w:tabs>
          <w:tab w:val="left" w:pos="1145"/>
        </w:tabs>
        <w:spacing w:line="360" w:lineRule="auto"/>
        <w:outlineLvl w:val="2"/>
        <w:rPr>
          <w:rFonts w:hint="eastAsia"/>
          <w:b/>
          <w:sz w:val="24"/>
          <w:lang w:val="en-US" w:eastAsia="zh-CN"/>
        </w:rPr>
      </w:pPr>
      <w:bookmarkStart w:id="1" w:name="_Toc26656_WPSOffice_Level2"/>
    </w:p>
    <w:p w14:paraId="3C13A19F">
      <w:pPr>
        <w:numPr>
          <w:numId w:val="0"/>
        </w:numPr>
        <w:tabs>
          <w:tab w:val="left" w:pos="1145"/>
        </w:tabs>
        <w:spacing w:line="360" w:lineRule="auto"/>
        <w:outlineLvl w:val="2"/>
        <w:rPr>
          <w:b/>
          <w:sz w:val="24"/>
        </w:rPr>
      </w:pPr>
      <w:r>
        <w:rPr>
          <w:rFonts w:hint="eastAsia"/>
          <w:b/>
          <w:sz w:val="24"/>
          <w:lang w:val="en-US" w:eastAsia="zh-CN"/>
        </w:rPr>
        <w:t>（一）</w:t>
      </w:r>
      <w:r>
        <w:rPr>
          <w:rFonts w:hint="eastAsia"/>
          <w:b/>
          <w:sz w:val="24"/>
        </w:rPr>
        <w:t>医疗责任保险保障需求方案</w:t>
      </w:r>
      <w:bookmarkEnd w:id="1"/>
    </w:p>
    <w:tbl>
      <w:tblPr>
        <w:tblStyle w:val="6"/>
        <w:tblW w:w="8955" w:type="dxa"/>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7170"/>
      </w:tblGrid>
      <w:tr w14:paraId="309F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8955" w:type="dxa"/>
            <w:gridSpan w:val="2"/>
            <w:tcBorders>
              <w:top w:val="single" w:color="auto" w:sz="4" w:space="0"/>
              <w:left w:val="single" w:color="auto" w:sz="4" w:space="0"/>
              <w:bottom w:val="single" w:color="auto" w:sz="4" w:space="0"/>
              <w:right w:val="single" w:color="auto" w:sz="4" w:space="0"/>
            </w:tcBorders>
            <w:noWrap w:val="0"/>
            <w:vAlign w:val="center"/>
          </w:tcPr>
          <w:p w14:paraId="3CFF1266">
            <w:pPr>
              <w:jc w:val="center"/>
              <w:rPr>
                <w:rFonts w:hint="eastAsia"/>
                <w:bCs/>
                <w:sz w:val="24"/>
              </w:rPr>
            </w:pPr>
            <w:r>
              <w:rPr>
                <w:rFonts w:hint="eastAsia"/>
                <w:b/>
                <w:sz w:val="24"/>
              </w:rPr>
              <w:t>医疗责任保险</w:t>
            </w:r>
            <w:r>
              <w:rPr>
                <w:rFonts w:hint="eastAsia" w:ascii="宋体" w:hAnsi="宋体"/>
                <w:b/>
                <w:sz w:val="24"/>
              </w:rPr>
              <w:t>赔偿限额及免赔额</w:t>
            </w:r>
          </w:p>
        </w:tc>
      </w:tr>
      <w:tr w14:paraId="38E5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785" w:type="dxa"/>
            <w:tcBorders>
              <w:top w:val="single" w:color="auto" w:sz="4" w:space="0"/>
              <w:left w:val="single" w:color="auto" w:sz="4" w:space="0"/>
              <w:bottom w:val="single" w:color="auto" w:sz="4" w:space="0"/>
              <w:right w:val="single" w:color="auto" w:sz="4" w:space="0"/>
            </w:tcBorders>
            <w:noWrap w:val="0"/>
            <w:vAlign w:val="center"/>
          </w:tcPr>
          <w:p w14:paraId="60471502">
            <w:pPr>
              <w:jc w:val="center"/>
              <w:rPr>
                <w:rFonts w:hint="eastAsia" w:ascii="宋体" w:hAnsi="宋体"/>
                <w:b/>
                <w:bCs/>
                <w:sz w:val="24"/>
              </w:rPr>
            </w:pPr>
            <w:r>
              <w:rPr>
                <w:rFonts w:hint="eastAsia" w:ascii="宋体" w:hAnsi="宋体" w:cs="宋体"/>
                <w:b/>
                <w:bCs/>
                <w:szCs w:val="21"/>
              </w:rPr>
              <w:t>投保人名称</w:t>
            </w:r>
          </w:p>
        </w:tc>
        <w:tc>
          <w:tcPr>
            <w:tcW w:w="7170" w:type="dxa"/>
            <w:tcBorders>
              <w:top w:val="single" w:color="auto" w:sz="4" w:space="0"/>
              <w:left w:val="single" w:color="auto" w:sz="4" w:space="0"/>
              <w:bottom w:val="single" w:color="auto" w:sz="4" w:space="0"/>
              <w:right w:val="single" w:color="auto" w:sz="4" w:space="0"/>
            </w:tcBorders>
            <w:noWrap w:val="0"/>
            <w:vAlign w:val="center"/>
          </w:tcPr>
          <w:p w14:paraId="63670A13">
            <w:pPr>
              <w:autoSpaceDN w:val="0"/>
              <w:jc w:val="center"/>
              <w:textAlignment w:val="center"/>
              <w:rPr>
                <w:rFonts w:hint="eastAsia" w:ascii="宋体" w:hAnsi="宋体"/>
                <w:bCs/>
                <w:sz w:val="24"/>
              </w:rPr>
            </w:pPr>
            <w:r>
              <w:rPr>
                <w:rFonts w:hint="eastAsia" w:ascii="宋体" w:hAnsi="宋体"/>
                <w:color w:val="auto"/>
                <w:szCs w:val="21"/>
              </w:rPr>
              <w:t>湛江市第一中医医院</w:t>
            </w:r>
          </w:p>
        </w:tc>
      </w:tr>
      <w:tr w14:paraId="3C4F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85" w:type="dxa"/>
            <w:tcBorders>
              <w:top w:val="single" w:color="auto" w:sz="4" w:space="0"/>
              <w:left w:val="single" w:color="auto" w:sz="4" w:space="0"/>
              <w:bottom w:val="single" w:color="auto" w:sz="4" w:space="0"/>
              <w:right w:val="single" w:color="auto" w:sz="4" w:space="0"/>
            </w:tcBorders>
            <w:noWrap w:val="0"/>
            <w:vAlign w:val="center"/>
          </w:tcPr>
          <w:p w14:paraId="1032812A">
            <w:pPr>
              <w:jc w:val="center"/>
              <w:rPr>
                <w:rFonts w:hint="eastAsia" w:ascii="宋体" w:hAnsi="宋体"/>
                <w:b/>
                <w:bCs/>
                <w:sz w:val="24"/>
              </w:rPr>
            </w:pPr>
            <w:r>
              <w:rPr>
                <w:rFonts w:hint="eastAsia" w:ascii="宋体" w:hAnsi="宋体" w:cs="宋体"/>
                <w:b/>
                <w:bCs/>
                <w:szCs w:val="21"/>
              </w:rPr>
              <w:t>投保人地址</w:t>
            </w:r>
          </w:p>
        </w:tc>
        <w:tc>
          <w:tcPr>
            <w:tcW w:w="7170" w:type="dxa"/>
            <w:tcBorders>
              <w:top w:val="single" w:color="auto" w:sz="4" w:space="0"/>
              <w:left w:val="single" w:color="auto" w:sz="4" w:space="0"/>
              <w:bottom w:val="single" w:color="auto" w:sz="4" w:space="0"/>
              <w:right w:val="single" w:color="auto" w:sz="4" w:space="0"/>
            </w:tcBorders>
            <w:noWrap w:val="0"/>
            <w:vAlign w:val="center"/>
          </w:tcPr>
          <w:p w14:paraId="695DAE7B">
            <w:pPr>
              <w:autoSpaceDN w:val="0"/>
              <w:jc w:val="center"/>
              <w:textAlignment w:val="center"/>
              <w:rPr>
                <w:rFonts w:hint="default" w:ascii="宋体" w:hAnsi="宋体"/>
                <w:bCs/>
                <w:sz w:val="24"/>
                <w:lang w:val="en-US"/>
              </w:rPr>
            </w:pPr>
            <w:r>
              <w:rPr>
                <w:rFonts w:hint="eastAsia" w:ascii="宋体" w:hAnsi="宋体"/>
                <w:color w:val="auto"/>
                <w:szCs w:val="21"/>
              </w:rPr>
              <w:t>湛江市赤坎区寸金路2号、赤坎区民生路33号、赤坎区和平路</w:t>
            </w:r>
            <w:r>
              <w:rPr>
                <w:rFonts w:hint="eastAsia" w:ascii="宋体" w:hAnsi="宋体"/>
                <w:color w:val="auto"/>
                <w:szCs w:val="21"/>
                <w:lang w:val="en-US" w:eastAsia="zh-CN"/>
              </w:rPr>
              <w:t>44号、赤坎区百园路1号</w:t>
            </w:r>
          </w:p>
        </w:tc>
      </w:tr>
      <w:tr w14:paraId="0CE6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785" w:type="dxa"/>
            <w:tcBorders>
              <w:top w:val="single" w:color="auto" w:sz="4" w:space="0"/>
              <w:left w:val="single" w:color="auto" w:sz="4" w:space="0"/>
              <w:bottom w:val="single" w:color="auto" w:sz="4" w:space="0"/>
              <w:right w:val="single" w:color="auto" w:sz="4" w:space="0"/>
            </w:tcBorders>
            <w:noWrap w:val="0"/>
            <w:vAlign w:val="center"/>
          </w:tcPr>
          <w:p w14:paraId="0252EEED">
            <w:pPr>
              <w:jc w:val="center"/>
              <w:rPr>
                <w:rFonts w:hint="eastAsia" w:ascii="宋体" w:hAnsi="宋体"/>
                <w:b/>
                <w:bCs/>
                <w:sz w:val="24"/>
              </w:rPr>
            </w:pPr>
            <w:r>
              <w:rPr>
                <w:rFonts w:hint="eastAsia" w:ascii="宋体" w:hAnsi="宋体" w:cs="宋体"/>
                <w:b/>
                <w:bCs/>
                <w:szCs w:val="21"/>
              </w:rPr>
              <w:t>被保险人名称</w:t>
            </w:r>
          </w:p>
        </w:tc>
        <w:tc>
          <w:tcPr>
            <w:tcW w:w="7170" w:type="dxa"/>
            <w:tcBorders>
              <w:top w:val="single" w:color="auto" w:sz="4" w:space="0"/>
              <w:left w:val="single" w:color="auto" w:sz="4" w:space="0"/>
              <w:bottom w:val="single" w:color="auto" w:sz="4" w:space="0"/>
              <w:right w:val="single" w:color="auto" w:sz="4" w:space="0"/>
            </w:tcBorders>
            <w:noWrap w:val="0"/>
            <w:vAlign w:val="center"/>
          </w:tcPr>
          <w:p w14:paraId="549C00B3">
            <w:pPr>
              <w:autoSpaceDN w:val="0"/>
              <w:jc w:val="center"/>
              <w:textAlignment w:val="center"/>
              <w:rPr>
                <w:rFonts w:hint="default" w:ascii="宋体" w:hAnsi="宋体" w:eastAsia="宋体" w:cs="宋体"/>
                <w:szCs w:val="21"/>
                <w:lang w:val="en-US" w:eastAsia="zh-CN"/>
              </w:rPr>
            </w:pPr>
            <w:r>
              <w:rPr>
                <w:rFonts w:hint="eastAsia" w:ascii="宋体" w:hAnsi="宋体"/>
                <w:color w:val="auto"/>
                <w:szCs w:val="21"/>
              </w:rPr>
              <w:t>湛江市第一中医医院</w:t>
            </w:r>
            <w:r>
              <w:rPr>
                <w:rFonts w:hint="eastAsia" w:ascii="宋体" w:hAnsi="宋体"/>
                <w:color w:val="auto"/>
                <w:szCs w:val="21"/>
                <w:lang w:eastAsia="zh-CN"/>
              </w:rPr>
              <w:t>、</w:t>
            </w:r>
            <w:r>
              <w:rPr>
                <w:rFonts w:hint="eastAsia" w:ascii="宋体" w:hAnsi="宋体"/>
                <w:lang w:val="en-US" w:eastAsia="zh-CN"/>
              </w:rPr>
              <w:t>湛江市委党校卫生室、湛江市第一中医医院爱周平价医院、湛江市第一中医医院护老院、湛江市第一中医医院百园门诊部</w:t>
            </w:r>
          </w:p>
        </w:tc>
      </w:tr>
      <w:tr w14:paraId="2CB0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1785" w:type="dxa"/>
            <w:tcBorders>
              <w:top w:val="single" w:color="auto" w:sz="4" w:space="0"/>
              <w:left w:val="single" w:color="auto" w:sz="4" w:space="0"/>
              <w:bottom w:val="single" w:color="auto" w:sz="4" w:space="0"/>
              <w:right w:val="single" w:color="auto" w:sz="4" w:space="0"/>
            </w:tcBorders>
            <w:noWrap w:val="0"/>
            <w:vAlign w:val="center"/>
          </w:tcPr>
          <w:p w14:paraId="633BA613">
            <w:pPr>
              <w:jc w:val="center"/>
              <w:rPr>
                <w:rFonts w:hint="eastAsia" w:ascii="宋体" w:hAnsi="宋体"/>
                <w:b/>
                <w:bCs/>
                <w:sz w:val="24"/>
              </w:rPr>
            </w:pPr>
            <w:r>
              <w:rPr>
                <w:rFonts w:hint="eastAsia" w:ascii="宋体" w:hAnsi="宋体" w:cs="宋体"/>
                <w:b/>
                <w:bCs/>
                <w:szCs w:val="21"/>
              </w:rPr>
              <w:t>被保险人地址</w:t>
            </w:r>
          </w:p>
        </w:tc>
        <w:tc>
          <w:tcPr>
            <w:tcW w:w="7170" w:type="dxa"/>
            <w:tcBorders>
              <w:top w:val="single" w:color="auto" w:sz="4" w:space="0"/>
              <w:left w:val="single" w:color="auto" w:sz="4" w:space="0"/>
              <w:bottom w:val="single" w:color="auto" w:sz="4" w:space="0"/>
              <w:right w:val="single" w:color="auto" w:sz="4" w:space="0"/>
            </w:tcBorders>
            <w:noWrap w:val="0"/>
            <w:vAlign w:val="center"/>
          </w:tcPr>
          <w:p w14:paraId="578ECEF5">
            <w:pPr>
              <w:autoSpaceDN w:val="0"/>
              <w:jc w:val="center"/>
              <w:textAlignment w:val="center"/>
              <w:rPr>
                <w:rFonts w:hint="eastAsia" w:ascii="宋体" w:hAnsi="宋体" w:eastAsia="宋体" w:cs="宋体"/>
                <w:szCs w:val="21"/>
                <w:lang w:eastAsia="zh-CN"/>
              </w:rPr>
            </w:pPr>
            <w:r>
              <w:rPr>
                <w:rFonts w:hint="eastAsia" w:ascii="宋体" w:hAnsi="宋体"/>
                <w:color w:val="auto"/>
                <w:szCs w:val="21"/>
              </w:rPr>
              <w:t>湛江市赤坎区寸金路2号、赤坎区民生路33号、赤坎区和平路</w:t>
            </w:r>
            <w:r>
              <w:rPr>
                <w:rFonts w:hint="eastAsia" w:ascii="宋体" w:hAnsi="宋体"/>
                <w:color w:val="auto"/>
                <w:szCs w:val="21"/>
                <w:lang w:val="en-US" w:eastAsia="zh-CN"/>
              </w:rPr>
              <w:t>44号、赤坎区百园路1号、</w:t>
            </w:r>
            <w:r>
              <w:rPr>
                <w:rFonts w:hint="eastAsia" w:ascii="宋体" w:hAnsi="宋体"/>
                <w:lang w:val="en-US" w:eastAsia="zh-CN"/>
              </w:rPr>
              <w:t>章区湛江教育基地教育三路1号</w:t>
            </w:r>
          </w:p>
        </w:tc>
      </w:tr>
      <w:tr w14:paraId="1BA2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1785" w:type="dxa"/>
            <w:tcBorders>
              <w:top w:val="single" w:color="auto" w:sz="4" w:space="0"/>
              <w:left w:val="single" w:color="auto" w:sz="4" w:space="0"/>
              <w:bottom w:val="single" w:color="auto" w:sz="4" w:space="0"/>
              <w:right w:val="single" w:color="auto" w:sz="4" w:space="0"/>
            </w:tcBorders>
            <w:noWrap w:val="0"/>
            <w:vAlign w:val="center"/>
          </w:tcPr>
          <w:p w14:paraId="4F59BAFF">
            <w:pPr>
              <w:jc w:val="center"/>
              <w:rPr>
                <w:rFonts w:hint="eastAsia" w:ascii="宋体" w:hAnsi="宋体"/>
                <w:bCs/>
                <w:sz w:val="24"/>
              </w:rPr>
            </w:pPr>
            <w:r>
              <w:rPr>
                <w:rFonts w:hint="eastAsia" w:ascii="宋体" w:hAnsi="宋体"/>
                <w:b/>
                <w:sz w:val="24"/>
              </w:rPr>
              <w:t>责任限额</w:t>
            </w:r>
          </w:p>
        </w:tc>
        <w:tc>
          <w:tcPr>
            <w:tcW w:w="7170" w:type="dxa"/>
            <w:tcBorders>
              <w:top w:val="single" w:color="auto" w:sz="4" w:space="0"/>
              <w:left w:val="single" w:color="auto" w:sz="4" w:space="0"/>
              <w:bottom w:val="single" w:color="auto" w:sz="4" w:space="0"/>
              <w:right w:val="single" w:color="auto" w:sz="4" w:space="0"/>
            </w:tcBorders>
            <w:noWrap w:val="0"/>
            <w:vAlign w:val="center"/>
          </w:tcPr>
          <w:p w14:paraId="458CC5F8">
            <w:pPr>
              <w:numPr>
                <w:ilvl w:val="0"/>
                <w:numId w:val="1"/>
              </w:numPr>
              <w:jc w:val="left"/>
              <w:rPr>
                <w:rFonts w:hint="eastAsia" w:ascii="宋体" w:hAnsi="宋体"/>
                <w:bCs/>
                <w:szCs w:val="21"/>
              </w:rPr>
            </w:pPr>
            <w:r>
              <w:rPr>
                <w:rFonts w:hint="eastAsia" w:ascii="宋体" w:hAnsi="宋体"/>
                <w:bCs/>
                <w:szCs w:val="21"/>
              </w:rPr>
              <w:t>累计赔偿限额（即医疗机构全年累计赔偿限</w:t>
            </w:r>
            <w:r>
              <w:rPr>
                <w:rFonts w:hint="eastAsia" w:ascii="宋体" w:hAnsi="宋体"/>
                <w:bCs/>
                <w:szCs w:val="21"/>
                <w:highlight w:val="none"/>
              </w:rPr>
              <w:t>额）：</w:t>
            </w:r>
            <w:r>
              <w:rPr>
                <w:rFonts w:hint="eastAsia" w:ascii="宋体" w:hAnsi="宋体"/>
                <w:b/>
                <w:szCs w:val="21"/>
                <w:highlight w:val="none"/>
              </w:rPr>
              <w:t>RMB</w:t>
            </w:r>
            <w:r>
              <w:rPr>
                <w:rFonts w:hint="eastAsia" w:ascii="宋体" w:hAnsi="宋体"/>
                <w:b/>
                <w:szCs w:val="21"/>
                <w:highlight w:val="none"/>
                <w:lang w:val="en-US" w:eastAsia="zh-CN"/>
              </w:rPr>
              <w:t xml:space="preserve"> </w:t>
            </w:r>
            <w:r>
              <w:rPr>
                <w:rFonts w:hint="eastAsia" w:ascii="宋体" w:hAnsi="宋体"/>
                <w:b/>
                <w:szCs w:val="21"/>
                <w:highlight w:val="none"/>
                <w:u w:val="single"/>
                <w:lang w:val="en-US" w:eastAsia="zh-CN"/>
              </w:rPr>
              <w:t>84</w:t>
            </w:r>
            <w:r>
              <w:rPr>
                <w:rFonts w:hint="eastAsia" w:ascii="宋体" w:hAnsi="宋体"/>
                <w:b/>
                <w:szCs w:val="21"/>
                <w:highlight w:val="none"/>
              </w:rPr>
              <w:t>万元；</w:t>
            </w:r>
            <w:r>
              <w:rPr>
                <w:rFonts w:hint="eastAsia" w:ascii="宋体" w:hAnsi="宋体"/>
                <w:bCs/>
                <w:szCs w:val="21"/>
                <w:lang w:val="en-US" w:eastAsia="zh-CN"/>
              </w:rPr>
              <w:t>其</w:t>
            </w:r>
            <w:r>
              <w:rPr>
                <w:rFonts w:hint="eastAsia" w:ascii="宋体" w:hAnsi="宋体"/>
                <w:bCs/>
                <w:szCs w:val="21"/>
                <w:lang w:val="en-US" w:eastAsia="zh-CN"/>
              </w:rPr>
              <w:t>中死亡赔偿金、残疾赔偿金、丧葬费、医疗费、被扶养人生活费、精神抚慰金、护理费、律师费（含律师费及律师差旅费）、误工费、住院伙食补助费、营养费、受理费、鉴定费、解剖费、自行和解费用等累计赔偿限额</w:t>
            </w:r>
            <w:r>
              <w:rPr>
                <w:rFonts w:hint="eastAsia" w:ascii="宋体" w:hAnsi="宋体"/>
                <w:b/>
                <w:szCs w:val="21"/>
                <w:highlight w:val="none"/>
              </w:rPr>
              <w:t>RMB</w:t>
            </w:r>
            <w:r>
              <w:rPr>
                <w:rFonts w:hint="eastAsia" w:ascii="宋体" w:hAnsi="宋体"/>
                <w:b/>
                <w:szCs w:val="21"/>
                <w:highlight w:val="none"/>
                <w:u w:val="single"/>
                <w:lang w:val="en-US" w:eastAsia="zh-CN"/>
              </w:rPr>
              <w:t xml:space="preserve"> 42</w:t>
            </w:r>
            <w:r>
              <w:rPr>
                <w:rFonts w:hint="eastAsia" w:ascii="宋体" w:hAnsi="宋体"/>
                <w:bCs/>
                <w:szCs w:val="21"/>
                <w:lang w:val="en-US" w:eastAsia="zh-CN"/>
              </w:rPr>
              <w:t>万元；住宿费、残疾辅助器具费、交通费、勘验费等累计赔偿限额</w:t>
            </w:r>
            <w:r>
              <w:rPr>
                <w:rFonts w:hint="eastAsia" w:ascii="宋体" w:hAnsi="宋体"/>
                <w:b/>
                <w:szCs w:val="21"/>
                <w:highlight w:val="none"/>
              </w:rPr>
              <w:t>RMB</w:t>
            </w:r>
            <w:r>
              <w:rPr>
                <w:rFonts w:hint="eastAsia" w:ascii="宋体" w:hAnsi="宋体"/>
                <w:b/>
                <w:szCs w:val="21"/>
                <w:highlight w:val="none"/>
                <w:u w:val="single"/>
                <w:lang w:val="en-US" w:eastAsia="zh-CN"/>
              </w:rPr>
              <w:t xml:space="preserve"> 42</w:t>
            </w:r>
            <w:r>
              <w:rPr>
                <w:rFonts w:hint="eastAsia" w:ascii="宋体" w:hAnsi="宋体"/>
                <w:bCs/>
                <w:szCs w:val="21"/>
                <w:lang w:val="en-US" w:eastAsia="zh-CN"/>
              </w:rPr>
              <w:t>万元</w:t>
            </w:r>
          </w:p>
          <w:p w14:paraId="25E9139A">
            <w:pPr>
              <w:numPr>
                <w:ilvl w:val="0"/>
                <w:numId w:val="1"/>
              </w:numPr>
              <w:jc w:val="left"/>
              <w:rPr>
                <w:rFonts w:hint="eastAsia" w:ascii="宋体" w:hAnsi="宋体"/>
                <w:bCs/>
                <w:szCs w:val="21"/>
                <w:highlight w:val="none"/>
              </w:rPr>
            </w:pPr>
            <w:r>
              <w:rPr>
                <w:rFonts w:hint="eastAsia" w:ascii="宋体" w:hAnsi="宋体"/>
                <w:bCs/>
                <w:szCs w:val="21"/>
                <w:highlight w:val="none"/>
              </w:rPr>
              <w:t>每次事故赔偿限额（即每次保险事故最高赔偿限额）：</w:t>
            </w:r>
            <w:r>
              <w:rPr>
                <w:rFonts w:hint="eastAsia" w:ascii="宋体" w:hAnsi="宋体"/>
                <w:b/>
                <w:szCs w:val="21"/>
                <w:highlight w:val="none"/>
              </w:rPr>
              <w:t>RMB</w:t>
            </w:r>
            <w:r>
              <w:rPr>
                <w:rFonts w:hint="eastAsia" w:ascii="宋体" w:hAnsi="宋体"/>
                <w:b/>
                <w:szCs w:val="21"/>
                <w:highlight w:val="none"/>
                <w:u w:val="single"/>
                <w:lang w:val="en-US" w:eastAsia="zh-CN"/>
              </w:rPr>
              <w:t xml:space="preserve"> 35</w:t>
            </w:r>
            <w:r>
              <w:rPr>
                <w:rFonts w:hint="eastAsia" w:ascii="宋体" w:hAnsi="宋体"/>
                <w:b/>
                <w:szCs w:val="21"/>
                <w:highlight w:val="none"/>
              </w:rPr>
              <w:t>万元；</w:t>
            </w:r>
          </w:p>
          <w:p w14:paraId="392BAD4F">
            <w:pPr>
              <w:jc w:val="left"/>
              <w:rPr>
                <w:rFonts w:hint="eastAsia" w:ascii="宋体" w:hAnsi="宋体"/>
                <w:bCs/>
                <w:sz w:val="24"/>
              </w:rPr>
            </w:pPr>
            <w:r>
              <w:rPr>
                <w:rFonts w:hint="eastAsia" w:ascii="宋体" w:hAnsi="宋体"/>
                <w:bCs/>
                <w:szCs w:val="21"/>
                <w:highlight w:val="none"/>
                <w:lang w:val="en-US" w:eastAsia="zh-CN"/>
              </w:rPr>
              <w:t>3、</w:t>
            </w:r>
            <w:r>
              <w:rPr>
                <w:rFonts w:hint="eastAsia" w:ascii="宋体" w:hAnsi="宋体"/>
                <w:bCs/>
                <w:szCs w:val="21"/>
                <w:highlight w:val="none"/>
              </w:rPr>
              <w:t>法律费用每年度每次及累计赔偿限额</w:t>
            </w:r>
            <w:r>
              <w:rPr>
                <w:rFonts w:hint="eastAsia" w:ascii="宋体" w:hAnsi="宋体"/>
                <w:b/>
                <w:szCs w:val="21"/>
                <w:highlight w:val="none"/>
              </w:rPr>
              <w:t>：RMB</w:t>
            </w:r>
            <w:r>
              <w:rPr>
                <w:rFonts w:hint="eastAsia" w:ascii="宋体" w:hAnsi="宋体"/>
                <w:b/>
                <w:szCs w:val="21"/>
                <w:highlight w:val="none"/>
                <w:lang w:val="en-US" w:eastAsia="zh-CN"/>
              </w:rPr>
              <w:t xml:space="preserve"> </w:t>
            </w:r>
            <w:r>
              <w:rPr>
                <w:rFonts w:hint="eastAsia" w:ascii="宋体" w:hAnsi="宋体"/>
                <w:b/>
                <w:szCs w:val="21"/>
                <w:highlight w:val="none"/>
                <w:u w:val="single"/>
                <w:lang w:val="en-US" w:eastAsia="zh-CN"/>
              </w:rPr>
              <w:t>8</w:t>
            </w:r>
            <w:r>
              <w:rPr>
                <w:rFonts w:hint="eastAsia" w:ascii="宋体" w:hAnsi="宋体"/>
                <w:b/>
                <w:szCs w:val="21"/>
                <w:highlight w:val="none"/>
              </w:rPr>
              <w:t>万元。</w:t>
            </w:r>
          </w:p>
        </w:tc>
      </w:tr>
      <w:tr w14:paraId="2B0B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785" w:type="dxa"/>
            <w:tcBorders>
              <w:top w:val="single" w:color="auto" w:sz="4" w:space="0"/>
              <w:left w:val="single" w:color="auto" w:sz="4" w:space="0"/>
              <w:bottom w:val="single" w:color="auto" w:sz="4" w:space="0"/>
              <w:right w:val="single" w:color="auto" w:sz="4" w:space="0"/>
            </w:tcBorders>
            <w:noWrap w:val="0"/>
            <w:vAlign w:val="center"/>
          </w:tcPr>
          <w:p w14:paraId="6E8B37D3">
            <w:pPr>
              <w:jc w:val="center"/>
              <w:rPr>
                <w:rFonts w:hint="eastAsia" w:ascii="宋体" w:hAnsi="宋体"/>
                <w:bCs/>
                <w:sz w:val="24"/>
              </w:rPr>
            </w:pPr>
            <w:r>
              <w:rPr>
                <w:rFonts w:hint="eastAsia" w:ascii="宋体" w:hAnsi="宋体"/>
                <w:b/>
                <w:sz w:val="24"/>
              </w:rPr>
              <w:sym w:font="Wingdings 2" w:char="00EA"/>
            </w:r>
            <w:r>
              <w:rPr>
                <w:rFonts w:hint="eastAsia" w:ascii="宋体" w:hAnsi="宋体"/>
                <w:b/>
                <w:sz w:val="24"/>
              </w:rPr>
              <w:t>免赔额</w:t>
            </w:r>
          </w:p>
        </w:tc>
        <w:tc>
          <w:tcPr>
            <w:tcW w:w="7170" w:type="dxa"/>
            <w:tcBorders>
              <w:top w:val="single" w:color="auto" w:sz="4" w:space="0"/>
              <w:left w:val="single" w:color="auto" w:sz="4" w:space="0"/>
              <w:bottom w:val="single" w:color="auto" w:sz="4" w:space="0"/>
              <w:right w:val="single" w:color="auto" w:sz="4" w:space="0"/>
            </w:tcBorders>
            <w:noWrap w:val="0"/>
            <w:vAlign w:val="center"/>
          </w:tcPr>
          <w:p w14:paraId="2D0EC21A">
            <w:pPr>
              <w:jc w:val="left"/>
              <w:rPr>
                <w:rFonts w:hint="eastAsia" w:ascii="宋体" w:hAnsi="宋体"/>
                <w:bCs/>
                <w:sz w:val="24"/>
              </w:rPr>
            </w:pPr>
            <w:r>
              <w:rPr>
                <w:rFonts w:hint="eastAsia" w:ascii="宋体" w:hAnsi="宋体"/>
                <w:bCs/>
                <w:sz w:val="24"/>
              </w:rPr>
              <w:t>无免赔</w:t>
            </w:r>
          </w:p>
        </w:tc>
      </w:tr>
      <w:tr w14:paraId="2353B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785" w:type="dxa"/>
            <w:tcBorders>
              <w:top w:val="single" w:color="auto" w:sz="4" w:space="0"/>
              <w:left w:val="single" w:color="auto" w:sz="4" w:space="0"/>
              <w:bottom w:val="single" w:color="auto" w:sz="4" w:space="0"/>
              <w:right w:val="single" w:color="auto" w:sz="4" w:space="0"/>
            </w:tcBorders>
            <w:noWrap w:val="0"/>
            <w:vAlign w:val="center"/>
          </w:tcPr>
          <w:p w14:paraId="736B44FF">
            <w:pPr>
              <w:tabs>
                <w:tab w:val="left" w:pos="1620"/>
              </w:tabs>
              <w:jc w:val="center"/>
              <w:rPr>
                <w:rFonts w:hint="eastAsia" w:ascii="宋体" w:hAnsi="宋体"/>
                <w:b/>
                <w:sz w:val="24"/>
              </w:rPr>
            </w:pPr>
            <w:r>
              <w:rPr>
                <w:rFonts w:hint="eastAsia" w:ascii="宋体" w:hAnsi="宋体"/>
                <w:b/>
                <w:sz w:val="24"/>
              </w:rPr>
              <w:t>承保基础</w:t>
            </w:r>
          </w:p>
        </w:tc>
        <w:tc>
          <w:tcPr>
            <w:tcW w:w="7170" w:type="dxa"/>
            <w:tcBorders>
              <w:top w:val="single" w:color="auto" w:sz="4" w:space="0"/>
              <w:left w:val="single" w:color="auto" w:sz="4" w:space="0"/>
              <w:bottom w:val="single" w:color="auto" w:sz="4" w:space="0"/>
              <w:right w:val="single" w:color="auto" w:sz="4" w:space="0"/>
            </w:tcBorders>
            <w:noWrap w:val="0"/>
            <w:vAlign w:val="center"/>
          </w:tcPr>
          <w:p w14:paraId="47199288">
            <w:pPr>
              <w:rPr>
                <w:rFonts w:hint="eastAsia" w:ascii="宋体" w:hAnsi="宋体"/>
                <w:bCs/>
                <w:sz w:val="24"/>
              </w:rPr>
            </w:pPr>
            <w:r>
              <w:rPr>
                <w:rFonts w:hint="eastAsia" w:ascii="宋体" w:hAnsi="宋体" w:cs="宋体"/>
                <w:szCs w:val="21"/>
              </w:rPr>
              <w:t>期内索赔制。</w:t>
            </w:r>
          </w:p>
        </w:tc>
      </w:tr>
      <w:tr w14:paraId="19F7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785" w:type="dxa"/>
            <w:noWrap w:val="0"/>
            <w:vAlign w:val="center"/>
          </w:tcPr>
          <w:p w14:paraId="4EAB1F78">
            <w:pPr>
              <w:tabs>
                <w:tab w:val="left" w:pos="1620"/>
              </w:tabs>
              <w:jc w:val="center"/>
              <w:rPr>
                <w:rFonts w:hint="eastAsia" w:ascii="宋体" w:hAnsi="宋体"/>
                <w:b/>
                <w:sz w:val="24"/>
              </w:rPr>
            </w:pPr>
            <w:r>
              <w:rPr>
                <w:rFonts w:hint="eastAsia" w:ascii="宋体" w:hAnsi="宋体"/>
                <w:b/>
                <w:sz w:val="24"/>
              </w:rPr>
              <w:t>适用条款</w:t>
            </w:r>
          </w:p>
        </w:tc>
        <w:tc>
          <w:tcPr>
            <w:tcW w:w="7170" w:type="dxa"/>
            <w:noWrap w:val="0"/>
            <w:vAlign w:val="center"/>
          </w:tcPr>
          <w:p w14:paraId="1ED0DD15">
            <w:pPr>
              <w:rPr>
                <w:rFonts w:hint="eastAsia" w:ascii="宋体" w:hAnsi="宋体"/>
                <w:bCs/>
                <w:sz w:val="24"/>
              </w:rPr>
            </w:pPr>
            <w:r>
              <w:rPr>
                <w:rFonts w:hint="eastAsia" w:ascii="宋体" w:cs="宋体"/>
                <w:kern w:val="0"/>
                <w:szCs w:val="21"/>
              </w:rPr>
              <w:t>《广东省医疗机构医疗责任保险统保条款》，详见</w:t>
            </w:r>
            <w:r>
              <w:rPr>
                <w:rFonts w:hint="eastAsia" w:ascii="宋体" w:cs="宋体"/>
                <w:kern w:val="0"/>
                <w:szCs w:val="21"/>
                <w:lang w:eastAsia="zh-CN"/>
              </w:rPr>
              <w:t>附件</w:t>
            </w:r>
          </w:p>
        </w:tc>
      </w:tr>
      <w:tr w14:paraId="4224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7" w:hRule="atLeast"/>
        </w:trPr>
        <w:tc>
          <w:tcPr>
            <w:tcW w:w="1785" w:type="dxa"/>
            <w:noWrap w:val="0"/>
            <w:vAlign w:val="center"/>
          </w:tcPr>
          <w:p w14:paraId="26C7D564">
            <w:pPr>
              <w:tabs>
                <w:tab w:val="left" w:pos="1620"/>
              </w:tabs>
              <w:ind w:firstLine="241" w:firstLineChars="100"/>
              <w:rPr>
                <w:rFonts w:hint="eastAsia" w:ascii="宋体" w:hAnsi="宋体"/>
                <w:b/>
                <w:sz w:val="24"/>
              </w:rPr>
            </w:pPr>
            <w:r>
              <w:rPr>
                <w:rFonts w:hint="eastAsia" w:ascii="宋体" w:hAnsi="宋体"/>
                <w:b/>
                <w:sz w:val="24"/>
              </w:rPr>
              <w:t>特别约定</w:t>
            </w:r>
          </w:p>
        </w:tc>
        <w:tc>
          <w:tcPr>
            <w:tcW w:w="7170" w:type="dxa"/>
            <w:noWrap w:val="0"/>
            <w:vAlign w:val="top"/>
          </w:tcPr>
          <w:p w14:paraId="4B49C60B">
            <w:pPr>
              <w:numPr>
                <w:ilvl w:val="0"/>
                <w:numId w:val="2"/>
              </w:numPr>
              <w:autoSpaceDE w:val="0"/>
              <w:autoSpaceDN w:val="0"/>
              <w:adjustRightInd w:val="0"/>
            </w:pPr>
            <w:r>
              <w:rPr>
                <w:rFonts w:hint="eastAsia"/>
              </w:rPr>
              <w:t>为高效化解医疗纠纷案件，充分保障医疗机构的正常诊疗秩序，并体现构建和谐社会之精神，对于赔偿金额（不含法律费用）在人民币1万元以下（含1万元）的医疗纠纷案件，以及对于被保险人或者其医务人员在从事与其资格相符的诊疗活动中存在过错但没有造成患者人身损害的情况，赔偿金额（不含法律费用）在人民币1万元以下（含1万元）的医疗纠纷案件，被保险人完全有权自主处理与患方达成赔偿协议，被保险人与患方达成赔偿协议后，保险人应根据此赔偿协议进行保险赔付。每个保险年度被保险人通过自行和解方式处理此类案件的赔偿金额累计不超过总保费的10%，自行和解次数不限。</w:t>
            </w:r>
          </w:p>
          <w:p w14:paraId="0319D15A">
            <w:pPr>
              <w:autoSpaceDE w:val="0"/>
              <w:autoSpaceDN w:val="0"/>
              <w:adjustRightInd w:val="0"/>
            </w:pPr>
          </w:p>
          <w:p w14:paraId="42CC79D4">
            <w:pPr>
              <w:numPr>
                <w:ilvl w:val="0"/>
                <w:numId w:val="2"/>
              </w:numPr>
              <w:autoSpaceDE w:val="0"/>
              <w:autoSpaceDN w:val="0"/>
              <w:adjustRightInd w:val="0"/>
              <w:rPr>
                <w:rFonts w:hint="eastAsia"/>
              </w:rPr>
            </w:pPr>
            <w:r>
              <w:rPr>
                <w:rFonts w:hint="eastAsia"/>
              </w:rPr>
              <w:t>承保保险公司授权“广东医调委”的人民调解员对于赔偿处理额度在人民币2万元以内的医疗纠纷案件可自主主导医患纠纷当事人达成调解协议，保险人依据调解协议和保险合同约定负责赔偿。</w:t>
            </w:r>
          </w:p>
          <w:p w14:paraId="34216478">
            <w:pPr>
              <w:autoSpaceDE w:val="0"/>
              <w:autoSpaceDN w:val="0"/>
              <w:adjustRightInd w:val="0"/>
              <w:rPr>
                <w:rFonts w:hint="eastAsia"/>
              </w:rPr>
            </w:pPr>
          </w:p>
          <w:p w14:paraId="6A1887EB">
            <w:pPr>
              <w:numPr>
                <w:ilvl w:val="0"/>
                <w:numId w:val="2"/>
              </w:numPr>
              <w:autoSpaceDE w:val="0"/>
              <w:autoSpaceDN w:val="0"/>
              <w:adjustRightInd w:val="0"/>
              <w:rPr>
                <w:rFonts w:hint="eastAsia"/>
              </w:rPr>
            </w:pPr>
            <w:r>
              <w:rPr>
                <w:rFonts w:hint="eastAsia"/>
              </w:rPr>
              <w:t>在保险期限内发生的保险事故结案后，患方如因后续治疗再次提起赔偿请求，经法院判决或仲裁裁决确定应由被保险人继续承担的医疗损害赔偿费用以及因患方再次提起赔偿请求而产生的应由被保险人承担的法律费用，保险公司</w:t>
            </w:r>
            <w:r>
              <w:rPr>
                <w:rFonts w:hint="eastAsia"/>
                <w:lang w:eastAsia="zh-CN"/>
              </w:rPr>
              <w:t>也</w:t>
            </w:r>
            <w:r>
              <w:rPr>
                <w:rFonts w:hint="eastAsia"/>
              </w:rPr>
              <w:t>应负责赔偿。</w:t>
            </w:r>
          </w:p>
          <w:p w14:paraId="67C3E13E">
            <w:pPr>
              <w:autoSpaceDE w:val="0"/>
              <w:autoSpaceDN w:val="0"/>
              <w:adjustRightInd w:val="0"/>
              <w:rPr>
                <w:rFonts w:hint="eastAsia"/>
              </w:rPr>
            </w:pPr>
          </w:p>
          <w:p w14:paraId="2EF5A6E9">
            <w:pPr>
              <w:numPr>
                <w:ilvl w:val="0"/>
                <w:numId w:val="2"/>
              </w:numPr>
              <w:autoSpaceDE w:val="0"/>
              <w:autoSpaceDN w:val="0"/>
              <w:adjustRightInd w:val="0"/>
              <w:rPr>
                <w:rFonts w:hint="eastAsia"/>
              </w:rPr>
            </w:pPr>
            <w:r>
              <w:rPr>
                <w:rFonts w:hint="eastAsia"/>
              </w:rPr>
              <w:t>发生可能引起本保险合同项下赔偿的情形时，被保险人作为被告或者第三人被提起诉讼或者仲裁，对应由被保险人支付的法律费用：包括仲裁或诉讼费用（包含可能产生的案件受理费、勘验费、鉴定费、律师费、解剖费等）以及其他必要的、合理的费用（包括代表被保险人参加医疗损害鉴定或医疗事故鉴定或庭审的人员因参加上述活动而产生的差旅费以及专家咨询费），保险人按照本保险合同约定每次事故法律费用赔偿限额及法律费用累计赔偿限额内负责赔偿。</w:t>
            </w:r>
          </w:p>
          <w:p w14:paraId="22F93E8C">
            <w:pPr>
              <w:numPr>
                <w:ilvl w:val="0"/>
                <w:numId w:val="0"/>
              </w:numPr>
              <w:autoSpaceDE w:val="0"/>
              <w:autoSpaceDN w:val="0"/>
              <w:adjustRightInd w:val="0"/>
              <w:ind w:firstLine="420" w:firstLineChars="200"/>
              <w:rPr>
                <w:rFonts w:hint="eastAsia"/>
              </w:rPr>
            </w:pPr>
            <w:r>
              <w:rPr>
                <w:rFonts w:hint="eastAsia"/>
              </w:rPr>
              <w:t>被保险人因医疗纠纷处理（包含自行和解和人民调解）过程中，为了查明医疗纠纷原因和损失产生的鉴定费以及其他必要的、合理的费用，保险人按本保险合同约定的法律费用限额内负责赔偿。医疗纠纷是指医患双方因诊疗活动引发的争议。</w:t>
            </w:r>
          </w:p>
          <w:p w14:paraId="7A51D9D6">
            <w:pPr>
              <w:autoSpaceDE w:val="0"/>
              <w:autoSpaceDN w:val="0"/>
              <w:adjustRightInd w:val="0"/>
              <w:rPr>
                <w:rFonts w:hint="eastAsia"/>
              </w:rPr>
            </w:pPr>
          </w:p>
          <w:p w14:paraId="5D10D8B4">
            <w:pPr>
              <w:numPr>
                <w:ilvl w:val="0"/>
                <w:numId w:val="2"/>
              </w:numPr>
              <w:autoSpaceDE w:val="0"/>
              <w:autoSpaceDN w:val="0"/>
              <w:adjustRightInd w:val="0"/>
              <w:rPr>
                <w:rFonts w:hint="eastAsia"/>
                <w:b/>
                <w:bCs/>
              </w:rPr>
            </w:pPr>
            <w:r>
              <w:rPr>
                <w:rFonts w:hint="eastAsia"/>
              </w:rPr>
              <w:t>经双方协商一致，保险人同意本保险采用医务人员不记名的方式投保，被保险人的投保医务人员数达到实际应投保医务人员数的90%以上（含90%）属于足额投保，低于90%的属不足额投保，当被保险人的实际医务人员数变更（增加或减少了投保医务人员数超过的10%）时，被保险人应及时向保险人申报变更后的医务人员数，保险人根据实际增加或减少的医务人员数以及保险期间的剩余期限增加或退还相应的保险费。</w:t>
            </w:r>
          </w:p>
          <w:p w14:paraId="6C1CC872">
            <w:pPr>
              <w:numPr>
                <w:ilvl w:val="0"/>
                <w:numId w:val="0"/>
              </w:numPr>
              <w:autoSpaceDE w:val="0"/>
              <w:autoSpaceDN w:val="0"/>
              <w:adjustRightInd w:val="0"/>
              <w:ind w:firstLine="422" w:firstLineChars="200"/>
              <w:rPr>
                <w:rFonts w:hint="eastAsia"/>
                <w:b/>
                <w:bCs/>
              </w:rPr>
            </w:pPr>
            <w:r>
              <w:rPr>
                <w:rFonts w:hint="eastAsia"/>
                <w:b/>
                <w:bCs/>
              </w:rPr>
              <w:t>被保险人应在保险合同成立后30日内提供医务人员数的清单（医院需盖章）供保险人进行核查，该清单仅供保险人核查人数。如保险公司在收到医务人员清单后7个工作日内无异议，则视为足额投保。</w:t>
            </w:r>
          </w:p>
          <w:p w14:paraId="2C0E1447">
            <w:pPr>
              <w:autoSpaceDE w:val="0"/>
              <w:autoSpaceDN w:val="0"/>
              <w:adjustRightInd w:val="0"/>
              <w:rPr>
                <w:rFonts w:hint="eastAsia"/>
              </w:rPr>
            </w:pPr>
          </w:p>
          <w:p w14:paraId="69B8DDAE">
            <w:pPr>
              <w:numPr>
                <w:ilvl w:val="0"/>
                <w:numId w:val="2"/>
              </w:numPr>
              <w:autoSpaceDE w:val="0"/>
              <w:autoSpaceDN w:val="0"/>
              <w:adjustRightInd w:val="0"/>
              <w:rPr>
                <w:rFonts w:hint="eastAsia" w:ascii="Times New Roman" w:hAnsi="Times New Roman" w:eastAsia="宋体" w:cs="Times New Roman"/>
              </w:rPr>
            </w:pPr>
            <w:r>
              <w:rPr>
                <w:rFonts w:hint="eastAsia" w:ascii="Times New Roman" w:hAnsi="Times New Roman" w:eastAsia="宋体" w:cs="Times New Roman"/>
                <w:lang w:val="en-US" w:eastAsia="zh-CN"/>
              </w:rPr>
              <w:t>经双方协商一致，在保险单中列明的保险期间内，在被保险人处进行实习的医学生和试用期医学毕业生，经临床带教教师或者指导医师同意并按照临床带教教师或者指导医师的要求在从事诊疗活动过程中造成患者人身损害的，患者或者其近亲属或者其代理人在保险期间内首次向被保险人提出损害赔偿请求，依照中华人民共和国法律应由被保险人承担经济赔偿责任的，保险人按照本保险合同约定负责赔偿。</w:t>
            </w:r>
          </w:p>
          <w:p w14:paraId="745B7A2D">
            <w:pPr>
              <w:pStyle w:val="5"/>
              <w:rPr>
                <w:rFonts w:hint="eastAsia"/>
              </w:rPr>
            </w:pPr>
          </w:p>
          <w:p w14:paraId="66996B91">
            <w:pPr>
              <w:numPr>
                <w:ilvl w:val="0"/>
                <w:numId w:val="2"/>
              </w:numPr>
              <w:autoSpaceDE w:val="0"/>
              <w:autoSpaceDN w:val="0"/>
              <w:adjustRightInd w:val="0"/>
              <w:rPr>
                <w:rFonts w:hint="eastAsia"/>
              </w:rPr>
            </w:pPr>
            <w:r>
              <w:rPr>
                <w:rFonts w:hint="eastAsia"/>
              </w:rPr>
              <w:t>经双方协商一致，在保险单中列明的保险期间内，在被保险人处进修的医务人员，经指导医师同意并按照指导医师的要求从事诊疗活动过程中造成患者人身损害的，患者或者其近亲属或者其代理人在保险期间内首次向被保险人提出损害赔偿请求，依照中华人民共和国法律应由被保险人承担的经济赔偿责任，保险人按照本保险合同约定负责赔偿。</w:t>
            </w:r>
          </w:p>
          <w:p w14:paraId="7F9F2DC4">
            <w:pPr>
              <w:autoSpaceDE w:val="0"/>
              <w:autoSpaceDN w:val="0"/>
              <w:adjustRightInd w:val="0"/>
              <w:rPr>
                <w:rFonts w:hint="eastAsia"/>
              </w:rPr>
            </w:pPr>
          </w:p>
          <w:p w14:paraId="5D2327D7">
            <w:pPr>
              <w:numPr>
                <w:ilvl w:val="0"/>
                <w:numId w:val="2"/>
              </w:numPr>
              <w:autoSpaceDE w:val="0"/>
              <w:autoSpaceDN w:val="0"/>
              <w:adjustRightInd w:val="0"/>
              <w:rPr>
                <w:rFonts w:hint="eastAsia"/>
              </w:rPr>
            </w:pPr>
            <w:r>
              <w:rPr>
                <w:rFonts w:hint="eastAsia"/>
              </w:rPr>
              <w:t>经双方协商一致，保险人同意将被保险人根据外聘合同聘用以及根据卫生行政部门制定的帮扶政策聘用的外聘医务人员（或正常会诊）的非本医疗机构的医务人员视为被保险人的医务人员。</w:t>
            </w:r>
          </w:p>
          <w:p w14:paraId="3A7FD44F">
            <w:pPr>
              <w:pStyle w:val="2"/>
              <w:rPr>
                <w:rFonts w:hint="eastAsia"/>
              </w:rPr>
            </w:pPr>
          </w:p>
          <w:p w14:paraId="004E56DC">
            <w:pPr>
              <w:numPr>
                <w:ilvl w:val="0"/>
                <w:numId w:val="2"/>
              </w:numPr>
              <w:autoSpaceDE w:val="0"/>
              <w:autoSpaceDN w:val="0"/>
              <w:adjustRightInd w:val="0"/>
              <w:rPr>
                <w:rFonts w:hint="eastAsia"/>
              </w:rPr>
            </w:pPr>
            <w:r>
              <w:rPr>
                <w:rFonts w:hint="eastAsia"/>
              </w:rPr>
              <w:t>在保险单中列明的保险期间内，按照被保险人轮岗管理制度要求的医务人员，在轮岗期间从事诊疗活动过程中造成患者人身损害的，患者或者其近亲属或者其代理人在保险期间内首次向被保险人提出损害赔偿请求，依照中华人民共和国法律应由被保险人承担的经济赔偿责任，保险人按照本保险合同约定负责赔偿</w:t>
            </w:r>
            <w:r>
              <w:rPr>
                <w:rFonts w:hint="eastAsia"/>
                <w:lang w:eastAsia="zh-CN"/>
              </w:rPr>
              <w:t>。</w:t>
            </w:r>
          </w:p>
          <w:p w14:paraId="5916C062">
            <w:pPr>
              <w:pStyle w:val="2"/>
              <w:rPr>
                <w:rFonts w:hint="eastAsia"/>
              </w:rPr>
            </w:pPr>
          </w:p>
          <w:p w14:paraId="0CCEC2D0">
            <w:pPr>
              <w:numPr>
                <w:ilvl w:val="0"/>
                <w:numId w:val="2"/>
              </w:numPr>
              <w:autoSpaceDE w:val="0"/>
              <w:autoSpaceDN w:val="0"/>
              <w:adjustRightInd w:val="0"/>
              <w:rPr>
                <w:rFonts w:hint="eastAsia"/>
              </w:rPr>
            </w:pPr>
            <w:r>
              <w:rPr>
                <w:rFonts w:hint="eastAsia"/>
              </w:rPr>
              <w:t>被保险人聘用的医务人员，在注册或变更注册期间或根据卫生行政部门规定及要求到指定区域范围内从事诊疗活动发生的保险事故，属于保险责任范围。</w:t>
            </w:r>
          </w:p>
          <w:p w14:paraId="1FEE9EE4">
            <w:pPr>
              <w:pStyle w:val="2"/>
              <w:ind w:left="0" w:leftChars="0" w:firstLine="0" w:firstLineChars="0"/>
              <w:rPr>
                <w:rFonts w:hint="eastAsia"/>
              </w:rPr>
            </w:pPr>
          </w:p>
          <w:p w14:paraId="0A872764">
            <w:pPr>
              <w:numPr>
                <w:ilvl w:val="0"/>
                <w:numId w:val="2"/>
              </w:numPr>
              <w:autoSpaceDE w:val="0"/>
              <w:autoSpaceDN w:val="0"/>
              <w:adjustRightInd w:val="0"/>
              <w:rPr>
                <w:rFonts w:hint="eastAsia"/>
              </w:rPr>
            </w:pPr>
            <w:r>
              <w:rPr>
                <w:rFonts w:hint="eastAsia"/>
              </w:rPr>
              <w:t>本保险合同约定的医患纠纷人民调解委员会指广东和谐医患纠纷人民调解委员会及其各地市医患纠纷人民调解委员会。</w:t>
            </w:r>
          </w:p>
          <w:p w14:paraId="0C5CCEFF">
            <w:pPr>
              <w:autoSpaceDE w:val="0"/>
              <w:autoSpaceDN w:val="0"/>
              <w:adjustRightInd w:val="0"/>
              <w:rPr>
                <w:rFonts w:hint="eastAsia"/>
              </w:rPr>
            </w:pPr>
          </w:p>
          <w:p w14:paraId="21E2D072">
            <w:pPr>
              <w:numPr>
                <w:ilvl w:val="0"/>
                <w:numId w:val="2"/>
              </w:numPr>
              <w:autoSpaceDE w:val="0"/>
              <w:autoSpaceDN w:val="0"/>
              <w:adjustRightInd w:val="0"/>
              <w:rPr>
                <w:rFonts w:hint="eastAsia"/>
              </w:rPr>
            </w:pPr>
            <w:r>
              <w:rPr>
                <w:rFonts w:hint="eastAsia"/>
              </w:rPr>
              <w:t>被保险人向保险人请求赔偿金的诉讼时效自被保险人对第三者应负的赔偿责任确定之日起计算。</w:t>
            </w:r>
          </w:p>
          <w:p w14:paraId="6E20F82A">
            <w:pPr>
              <w:autoSpaceDE w:val="0"/>
              <w:autoSpaceDN w:val="0"/>
              <w:adjustRightInd w:val="0"/>
              <w:rPr>
                <w:rFonts w:hint="eastAsia"/>
              </w:rPr>
            </w:pPr>
          </w:p>
          <w:p w14:paraId="12308751">
            <w:pPr>
              <w:numPr>
                <w:ilvl w:val="0"/>
                <w:numId w:val="2"/>
              </w:numPr>
              <w:autoSpaceDE w:val="0"/>
              <w:autoSpaceDN w:val="0"/>
              <w:adjustRightInd w:val="0"/>
              <w:rPr>
                <w:rFonts w:hint="eastAsia"/>
              </w:rPr>
            </w:pPr>
            <w:r>
              <w:rPr>
                <w:rFonts w:hint="eastAsia"/>
              </w:rPr>
              <w:t>本保险合同所称的“诊疗活动”，也包括在本保险合同中列明的保险期间内，被保险人或者其医务人员在被保险人自营平台从事与其资格相符的互联网诊疗活动中造成患者人身损害，患者或者其近亲属或者其代理人在保险期间内首次向被保险人提出损害赔偿请求，依照中华人民共和国法律（不包括港、澳、台地区法律）应由被保险人承担经济赔偿责任，保险人按照本保险合同约定负责赔偿</w:t>
            </w:r>
            <w:r>
              <w:rPr>
                <w:rFonts w:hint="eastAsia"/>
                <w:lang w:eastAsia="zh-CN"/>
              </w:rPr>
              <w:t>。</w:t>
            </w:r>
          </w:p>
          <w:p w14:paraId="075C6BE7">
            <w:pPr>
              <w:pStyle w:val="2"/>
              <w:rPr>
                <w:rFonts w:hint="eastAsia"/>
              </w:rPr>
            </w:pPr>
            <w:bookmarkStart w:id="2" w:name="_GoBack"/>
            <w:bookmarkEnd w:id="2"/>
          </w:p>
          <w:p w14:paraId="4C28F039">
            <w:pPr>
              <w:numPr>
                <w:ilvl w:val="0"/>
                <w:numId w:val="2"/>
              </w:numPr>
              <w:autoSpaceDE w:val="0"/>
              <w:autoSpaceDN w:val="0"/>
              <w:adjustRightInd w:val="0"/>
              <w:rPr>
                <w:rFonts w:hint="eastAsia"/>
              </w:rPr>
            </w:pPr>
            <w:r>
              <w:rPr>
                <w:rFonts w:hint="eastAsia"/>
              </w:rPr>
              <w:t>确定患方首次向被保险人提出损害赔偿请求的时间规则：</w:t>
            </w:r>
          </w:p>
          <w:p w14:paraId="5CC0715F">
            <w:pPr>
              <w:autoSpaceDE w:val="0"/>
              <w:autoSpaceDN w:val="0"/>
              <w:adjustRightInd w:val="0"/>
              <w:rPr>
                <w:rFonts w:hint="eastAsia"/>
              </w:rPr>
            </w:pPr>
            <w:r>
              <w:rPr>
                <w:rFonts w:hint="eastAsia"/>
                <w:lang w:eastAsia="zh-CN"/>
              </w:rPr>
              <w:t>（</w:t>
            </w:r>
            <w:r>
              <w:rPr>
                <w:rFonts w:hint="eastAsia"/>
                <w:lang w:val="en-US" w:eastAsia="zh-CN"/>
              </w:rPr>
              <w:t>1</w:t>
            </w:r>
            <w:r>
              <w:rPr>
                <w:rFonts w:hint="eastAsia"/>
                <w:lang w:eastAsia="zh-CN"/>
              </w:rPr>
              <w:t>）</w:t>
            </w:r>
            <w:r>
              <w:rPr>
                <w:rFonts w:hint="eastAsia"/>
              </w:rPr>
              <w:t>患者接受诊疗活动导致人身损害的时间、患方首次投诉时间和医疗机构报案时间在同一保险期间内的案件，以医疗机构报案时填写的时间为准。</w:t>
            </w:r>
          </w:p>
          <w:p w14:paraId="5C2E7C28">
            <w:pPr>
              <w:autoSpaceDE w:val="0"/>
              <w:autoSpaceDN w:val="0"/>
              <w:adjustRightInd w:val="0"/>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rPr>
              <w:t>患者接受诊疗活动导致人身损害的时间、患方首次投诉时间和医疗机构报案时间不在同一保险期内的案件，以下述材料记载时间中最早的日期为准：患方向医疗机构或者行政部门书面投诉材料日期(患方或患方代理人签字）、司法鉴定（含尸检和医疗事故鉴定）的申请日期、人民调解申请日期、法院传票通知日期等与纠纷相关书面材料</w:t>
            </w:r>
            <w:r>
              <w:rPr>
                <w:rFonts w:hint="eastAsia"/>
                <w:lang w:eastAsia="zh-CN"/>
              </w:rPr>
              <w:t>。</w:t>
            </w:r>
          </w:p>
        </w:tc>
      </w:tr>
      <w:tr w14:paraId="72C3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785" w:type="dxa"/>
            <w:noWrap w:val="0"/>
            <w:vAlign w:val="center"/>
          </w:tcPr>
          <w:p w14:paraId="6DBF128E">
            <w:pPr>
              <w:tabs>
                <w:tab w:val="left" w:pos="1620"/>
              </w:tabs>
              <w:jc w:val="center"/>
              <w:rPr>
                <w:rFonts w:hint="eastAsia" w:ascii="宋体" w:hAnsi="宋体"/>
                <w:b/>
                <w:sz w:val="24"/>
              </w:rPr>
            </w:pPr>
            <w:r>
              <w:rPr>
                <w:rFonts w:hint="eastAsia" w:ascii="宋体" w:hAnsi="宋体" w:cs="宋体"/>
                <w:b/>
                <w:sz w:val="24"/>
              </w:rPr>
              <w:t>★</w:t>
            </w:r>
            <w:r>
              <w:rPr>
                <w:rFonts w:hint="eastAsia" w:ascii="宋体" w:hAnsi="宋体"/>
                <w:b/>
                <w:sz w:val="24"/>
              </w:rPr>
              <w:t>保险期限</w:t>
            </w:r>
          </w:p>
        </w:tc>
        <w:tc>
          <w:tcPr>
            <w:tcW w:w="7170" w:type="dxa"/>
            <w:noWrap w:val="0"/>
            <w:vAlign w:val="center"/>
          </w:tcPr>
          <w:p w14:paraId="25E11395">
            <w:pPr>
              <w:autoSpaceDE w:val="0"/>
              <w:autoSpaceDN w:val="0"/>
              <w:adjustRightInd w:val="0"/>
              <w:jc w:val="left"/>
              <w:rPr>
                <w:rFonts w:hint="eastAsia" w:ascii="宋体" w:hAnsi="宋体"/>
                <w:bCs/>
                <w:sz w:val="24"/>
              </w:rPr>
            </w:pPr>
            <w:r>
              <w:rPr>
                <w:rFonts w:hint="eastAsia" w:ascii="宋体" w:hAnsi="宋体" w:cs="宋体"/>
                <w:szCs w:val="21"/>
                <w:lang w:val="en-US" w:eastAsia="zh-CN"/>
              </w:rPr>
              <w:t>一年</w:t>
            </w:r>
            <w:r>
              <w:rPr>
                <w:rFonts w:hint="eastAsia" w:ascii="宋体" w:hAnsi="宋体" w:cs="宋体"/>
                <w:szCs w:val="21"/>
              </w:rPr>
              <w:t>，自20</w:t>
            </w:r>
            <w:r>
              <w:rPr>
                <w:rFonts w:hint="eastAsia" w:ascii="宋体" w:hAnsi="宋体" w:cs="宋体"/>
                <w:szCs w:val="21"/>
                <w:lang w:val="en-US" w:eastAsia="zh-CN"/>
              </w:rPr>
              <w:t>26</w:t>
            </w:r>
            <w:r>
              <w:rPr>
                <w:rFonts w:hint="eastAsia" w:ascii="宋体" w:hAnsi="宋体" w:cs="宋体"/>
                <w:szCs w:val="21"/>
              </w:rPr>
              <w:t>年</w:t>
            </w:r>
            <w:r>
              <w:rPr>
                <w:rFonts w:hint="eastAsia" w:ascii="宋体" w:hAnsi="宋体" w:cs="宋体"/>
                <w:szCs w:val="21"/>
                <w:lang w:val="en-US" w:eastAsia="zh-CN"/>
              </w:rPr>
              <w:t>09</w:t>
            </w:r>
            <w:r>
              <w:rPr>
                <w:rFonts w:hint="eastAsia" w:ascii="宋体" w:hAnsi="宋体" w:cs="宋体"/>
                <w:szCs w:val="21"/>
              </w:rPr>
              <w:t>月</w:t>
            </w:r>
            <w:r>
              <w:rPr>
                <w:rFonts w:hint="eastAsia" w:ascii="宋体" w:hAnsi="宋体" w:cs="宋体"/>
                <w:szCs w:val="21"/>
                <w:lang w:val="en-US" w:eastAsia="zh-CN"/>
              </w:rPr>
              <w:t>15</w:t>
            </w:r>
            <w:r>
              <w:rPr>
                <w:rFonts w:hint="eastAsia" w:ascii="宋体" w:hAnsi="宋体" w:cs="宋体"/>
                <w:szCs w:val="21"/>
              </w:rPr>
              <w:t>日零时起至202</w:t>
            </w:r>
            <w:r>
              <w:rPr>
                <w:rFonts w:hint="eastAsia" w:ascii="宋体" w:hAnsi="宋体" w:cs="宋体"/>
                <w:szCs w:val="21"/>
                <w:lang w:val="en-US" w:eastAsia="zh-CN"/>
              </w:rPr>
              <w:t>7</w:t>
            </w:r>
            <w:r>
              <w:rPr>
                <w:rFonts w:hint="eastAsia" w:ascii="宋体" w:hAnsi="宋体" w:cs="宋体"/>
                <w:szCs w:val="21"/>
              </w:rPr>
              <w:t>年</w:t>
            </w:r>
            <w:r>
              <w:rPr>
                <w:rFonts w:hint="eastAsia" w:ascii="宋体" w:hAnsi="宋体" w:cs="宋体"/>
                <w:szCs w:val="21"/>
                <w:lang w:val="en-US" w:eastAsia="zh-CN"/>
              </w:rPr>
              <w:t>09</w:t>
            </w:r>
            <w:r>
              <w:rPr>
                <w:rFonts w:hint="eastAsia" w:ascii="宋体" w:hAnsi="宋体" w:cs="宋体"/>
                <w:szCs w:val="21"/>
              </w:rPr>
              <w:t>月</w:t>
            </w:r>
            <w:r>
              <w:rPr>
                <w:rFonts w:hint="eastAsia" w:ascii="宋体" w:hAnsi="宋体" w:cs="宋体"/>
                <w:szCs w:val="21"/>
                <w:lang w:val="en-US" w:eastAsia="zh-CN"/>
              </w:rPr>
              <w:t>14</w:t>
            </w:r>
            <w:r>
              <w:rPr>
                <w:rFonts w:hint="eastAsia" w:ascii="宋体" w:hAnsi="宋体" w:cs="宋体"/>
                <w:szCs w:val="21"/>
              </w:rPr>
              <w:t>日二十四时止</w:t>
            </w:r>
          </w:p>
        </w:tc>
      </w:tr>
      <w:tr w14:paraId="3414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785" w:type="dxa"/>
            <w:noWrap w:val="0"/>
            <w:vAlign w:val="center"/>
          </w:tcPr>
          <w:p w14:paraId="3B032382">
            <w:pPr>
              <w:tabs>
                <w:tab w:val="left" w:pos="1620"/>
              </w:tabs>
              <w:jc w:val="center"/>
              <w:rPr>
                <w:rFonts w:hint="eastAsia" w:ascii="宋体" w:hAnsi="宋体"/>
                <w:b/>
                <w:sz w:val="24"/>
              </w:rPr>
            </w:pPr>
            <w:r>
              <w:rPr>
                <w:rFonts w:hint="eastAsia" w:ascii="宋体" w:hAnsi="宋体"/>
                <w:b/>
                <w:sz w:val="24"/>
              </w:rPr>
              <w:t>赔偿处理</w:t>
            </w:r>
          </w:p>
        </w:tc>
        <w:tc>
          <w:tcPr>
            <w:tcW w:w="7170" w:type="dxa"/>
            <w:noWrap w:val="0"/>
            <w:vAlign w:val="top"/>
          </w:tcPr>
          <w:p w14:paraId="09027FCE">
            <w:pPr>
              <w:autoSpaceDE w:val="0"/>
              <w:autoSpaceDN w:val="0"/>
              <w:adjustRightInd w:val="0"/>
              <w:rPr>
                <w:rFonts w:hint="eastAsia" w:ascii="宋体" w:hAnsi="宋体"/>
                <w:bCs/>
                <w:sz w:val="24"/>
              </w:rPr>
            </w:pPr>
            <w:r>
              <w:rPr>
                <w:rFonts w:hint="eastAsia" w:ascii="宋体" w:hAnsi="宋体" w:cs="宋体"/>
                <w:b/>
                <w:bCs/>
                <w:szCs w:val="21"/>
              </w:rPr>
              <w:t>依据</w:t>
            </w:r>
            <w:r>
              <w:rPr>
                <w:rFonts w:hint="eastAsia" w:ascii="宋体" w:hAnsi="宋体" w:cs="宋体"/>
                <w:b/>
                <w:szCs w:val="21"/>
              </w:rPr>
              <w:t>附件一：《保险索赔、理赔处理程序预案》，附件二：《广东省医疗责任保险赔偿处理办法（暂行）》。</w:t>
            </w:r>
          </w:p>
        </w:tc>
      </w:tr>
      <w:tr w14:paraId="18460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785" w:type="dxa"/>
            <w:noWrap w:val="0"/>
            <w:vAlign w:val="center"/>
          </w:tcPr>
          <w:p w14:paraId="6506AD44">
            <w:pPr>
              <w:tabs>
                <w:tab w:val="left" w:pos="1620"/>
              </w:tabs>
              <w:jc w:val="center"/>
              <w:rPr>
                <w:rFonts w:hint="eastAsia" w:ascii="宋体" w:hAnsi="宋体"/>
                <w:b/>
                <w:sz w:val="24"/>
              </w:rPr>
            </w:pPr>
            <w:r>
              <w:rPr>
                <w:rFonts w:hint="eastAsia" w:ascii="宋体" w:hAnsi="宋体"/>
                <w:b/>
                <w:sz w:val="24"/>
              </w:rPr>
              <w:t>司法管辖</w:t>
            </w:r>
          </w:p>
        </w:tc>
        <w:tc>
          <w:tcPr>
            <w:tcW w:w="7170" w:type="dxa"/>
            <w:noWrap w:val="0"/>
            <w:vAlign w:val="center"/>
          </w:tcPr>
          <w:p w14:paraId="20CDED78">
            <w:pPr>
              <w:autoSpaceDE w:val="0"/>
              <w:autoSpaceDN w:val="0"/>
              <w:adjustRightInd w:val="0"/>
              <w:rPr>
                <w:rFonts w:hint="eastAsia" w:ascii="宋体" w:hAnsi="宋体"/>
                <w:bCs/>
                <w:sz w:val="24"/>
              </w:rPr>
            </w:pPr>
            <w:r>
              <w:rPr>
                <w:rFonts w:hint="eastAsia" w:ascii="宋体" w:hAnsi="宋体" w:cs="宋体"/>
                <w:szCs w:val="21"/>
              </w:rPr>
              <w:t>中华人民共和国司法管辖（不含港、澳、台地区）</w:t>
            </w:r>
          </w:p>
        </w:tc>
      </w:tr>
      <w:tr w14:paraId="211C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785" w:type="dxa"/>
            <w:noWrap w:val="0"/>
            <w:vAlign w:val="center"/>
          </w:tcPr>
          <w:p w14:paraId="4CD4936D">
            <w:pPr>
              <w:tabs>
                <w:tab w:val="left" w:pos="1620"/>
              </w:tabs>
              <w:jc w:val="center"/>
              <w:rPr>
                <w:rFonts w:hint="eastAsia" w:ascii="宋体" w:hAnsi="宋体"/>
                <w:b/>
                <w:sz w:val="24"/>
              </w:rPr>
            </w:pPr>
            <w:r>
              <w:rPr>
                <w:rFonts w:hint="eastAsia" w:ascii="宋体" w:hAnsi="宋体"/>
                <w:b/>
                <w:sz w:val="24"/>
              </w:rPr>
              <w:t>保费支付</w:t>
            </w:r>
          </w:p>
        </w:tc>
        <w:tc>
          <w:tcPr>
            <w:tcW w:w="7170" w:type="dxa"/>
            <w:noWrap w:val="0"/>
            <w:vAlign w:val="center"/>
          </w:tcPr>
          <w:p w14:paraId="75B29753">
            <w:pPr>
              <w:autoSpaceDE w:val="0"/>
              <w:autoSpaceDN w:val="0"/>
              <w:adjustRightInd w:val="0"/>
              <w:rPr>
                <w:rFonts w:hint="eastAsia" w:ascii="宋体" w:hAnsi="宋体"/>
                <w:bCs/>
                <w:sz w:val="24"/>
              </w:rPr>
            </w:pPr>
            <w:r>
              <w:rPr>
                <w:rFonts w:hint="eastAsia" w:ascii="宋体" w:hAnsi="宋体" w:cs="宋体"/>
                <w:szCs w:val="21"/>
              </w:rPr>
              <w:t>依据保险合同约定执行</w:t>
            </w:r>
          </w:p>
        </w:tc>
      </w:tr>
      <w:tr w14:paraId="2CFF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785" w:type="dxa"/>
            <w:noWrap w:val="0"/>
            <w:vAlign w:val="center"/>
          </w:tcPr>
          <w:p w14:paraId="326EB49C">
            <w:pPr>
              <w:tabs>
                <w:tab w:val="left" w:pos="1620"/>
              </w:tabs>
              <w:jc w:val="center"/>
              <w:rPr>
                <w:rFonts w:hint="default" w:ascii="宋体" w:hAnsi="宋体" w:eastAsia="宋体"/>
                <w:b/>
                <w:sz w:val="24"/>
                <w:lang w:val="en-US" w:eastAsia="zh-CN"/>
              </w:rPr>
            </w:pPr>
            <w:r>
              <w:rPr>
                <w:rFonts w:hint="eastAsia" w:ascii="宋体" w:hAnsi="宋体"/>
                <w:b/>
                <w:sz w:val="24"/>
                <w:lang w:val="en-US" w:eastAsia="zh-CN"/>
              </w:rPr>
              <w:t>其他要求</w:t>
            </w:r>
          </w:p>
        </w:tc>
        <w:tc>
          <w:tcPr>
            <w:tcW w:w="7170" w:type="dxa"/>
            <w:noWrap w:val="0"/>
            <w:vAlign w:val="center"/>
          </w:tcPr>
          <w:p w14:paraId="446B40AC">
            <w:pPr>
              <w:tabs>
                <w:tab w:val="left" w:pos="1145"/>
              </w:tabs>
              <w:spacing w:line="360" w:lineRule="auto"/>
              <w:rPr>
                <w:rFonts w:hint="eastAsia" w:ascii="宋体" w:hAnsi="宋体" w:eastAsia="宋体" w:cs="宋体"/>
                <w:sz w:val="20"/>
                <w:szCs w:val="20"/>
              </w:rPr>
            </w:pPr>
            <w:r>
              <w:rPr>
                <w:rFonts w:hint="eastAsia" w:ascii="宋体" w:hAnsi="宋体" w:eastAsia="宋体" w:cs="宋体"/>
                <w:sz w:val="20"/>
                <w:szCs w:val="20"/>
              </w:rPr>
              <w:t>1、根据粤卫办函【2011】129号文件，广东省承担医疗责任保险的保险经纪人为江泰保险经纪股份有限公司，采购人聘请江泰保险经纪股份有限公司广东营业部为保险经纪人，为采购人及各被保险人医疗责任保险项目提供保险经纪服务。报价人及最终确定的承保人尊重江泰保险经纪股份有限公司广东营业部代表采购人所提涉保要求，尊重其所发挥的督促、协调作用，并认为保险经纪人能为保险双方的顺利合作起到应有的积极作用；</w:t>
            </w:r>
            <w:r>
              <w:rPr>
                <w:rFonts w:hint="eastAsia" w:ascii="宋体" w:hAnsi="宋体" w:cs="宋体"/>
                <w:sz w:val="20"/>
                <w:szCs w:val="20"/>
                <w:lang w:val="en-US" w:eastAsia="zh-CN"/>
              </w:rPr>
              <w:t>报价</w:t>
            </w:r>
            <w:r>
              <w:rPr>
                <w:rFonts w:hint="eastAsia" w:ascii="宋体" w:hAnsi="宋体" w:eastAsia="宋体" w:cs="宋体"/>
                <w:sz w:val="20"/>
                <w:szCs w:val="20"/>
              </w:rPr>
              <w:t>人与保险经纪人之间的权责、义务等由保险经纪人与之签订。</w:t>
            </w:r>
          </w:p>
          <w:p w14:paraId="51C1828B">
            <w:pPr>
              <w:autoSpaceDE w:val="0"/>
              <w:autoSpaceDN w:val="0"/>
              <w:adjustRightInd w:val="0"/>
              <w:rPr>
                <w:rFonts w:hint="eastAsia" w:ascii="宋体" w:hAnsi="宋体" w:eastAsia="宋体" w:cs="宋体"/>
                <w:szCs w:val="21"/>
                <w:lang w:val="en-US" w:eastAsia="zh-CN"/>
              </w:rPr>
            </w:pPr>
            <w:r>
              <w:rPr>
                <w:rFonts w:hint="eastAsia" w:ascii="宋体" w:hAnsi="宋体" w:eastAsia="宋体" w:cs="宋体"/>
                <w:sz w:val="20"/>
                <w:szCs w:val="20"/>
                <w:lang w:val="en-US" w:eastAsia="zh-CN"/>
              </w:rPr>
              <w:t>2、报价人可</w:t>
            </w:r>
            <w:r>
              <w:rPr>
                <w:rFonts w:hint="eastAsia" w:ascii="宋体" w:hAnsi="宋体" w:eastAsia="宋体" w:cs="宋体"/>
                <w:sz w:val="20"/>
                <w:szCs w:val="20"/>
              </w:rPr>
              <w:t>按照中国保险监督管理委员会《关于加强财产保险共保业务管理的通知》要求安排共保及再保，但</w:t>
            </w:r>
            <w:r>
              <w:rPr>
                <w:rFonts w:hint="eastAsia" w:ascii="宋体" w:hAnsi="宋体" w:cs="宋体"/>
                <w:sz w:val="20"/>
                <w:szCs w:val="20"/>
                <w:lang w:val="en-US" w:eastAsia="zh-CN"/>
              </w:rPr>
              <w:t>最终确定为保险人</w:t>
            </w:r>
            <w:r>
              <w:rPr>
                <w:rFonts w:hint="eastAsia" w:ascii="宋体" w:hAnsi="宋体" w:eastAsia="宋体" w:cs="宋体"/>
                <w:sz w:val="20"/>
                <w:szCs w:val="20"/>
              </w:rPr>
              <w:t>必须作为主承保人负责承保、理赔服务，不得将承保、理赔服务分配其他参与共保公司服务。</w:t>
            </w:r>
          </w:p>
        </w:tc>
      </w:tr>
    </w:tbl>
    <w:p w14:paraId="32A45864">
      <w:pPr>
        <w:ind w:firstLine="6720" w:firstLineChars="21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医调办</w:t>
      </w:r>
    </w:p>
    <w:p w14:paraId="295ACE14">
      <w:pPr>
        <w:ind w:firstLine="5760" w:firstLineChars="1800"/>
        <w:rPr>
          <w:rFonts w:hint="default"/>
          <w:lang w:val="en-US" w:eastAsia="zh-CN"/>
        </w:rPr>
      </w:pPr>
      <w:r>
        <w:rPr>
          <w:rFonts w:hint="eastAsia" w:ascii="仿宋" w:hAnsi="仿宋" w:eastAsia="仿宋" w:cs="仿宋"/>
          <w:sz w:val="32"/>
          <w:szCs w:val="32"/>
          <w:lang w:val="en-US" w:eastAsia="zh-CN"/>
        </w:rPr>
        <w:t>2026年8月19日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Wingdings 2">
    <w:panose1 w:val="05020102010507070707"/>
    <w:charset w:val="02"/>
    <w:family w:val="auto"/>
    <w:pitch w:val="default"/>
    <w:sig w:usb0="00000000" w:usb1="00000000" w:usb2="00000000" w:usb3="00000000" w:csb0="80000000" w:csb1="00000000"/>
  </w:font>
  <w:font w:name="KSOFE8852770">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5E2255"/>
    <w:multiLevelType w:val="singleLevel"/>
    <w:tmpl w:val="E05E2255"/>
    <w:lvl w:ilvl="0" w:tentative="0">
      <w:start w:val="1"/>
      <w:numFmt w:val="decimal"/>
      <w:suff w:val="nothing"/>
      <w:lvlText w:val="%1、"/>
      <w:lvlJc w:val="left"/>
      <w:rPr>
        <w:rFonts w:hint="default" w:ascii="宋体" w:hAnsi="宋体" w:eastAsia="宋体" w:cs="宋体"/>
        <w:b w:val="0"/>
        <w:bCs w:val="0"/>
      </w:rPr>
    </w:lvl>
  </w:abstractNum>
  <w:abstractNum w:abstractNumId="1">
    <w:nsid w:val="574E8F9A"/>
    <w:multiLevelType w:val="singleLevel"/>
    <w:tmpl w:val="574E8F9A"/>
    <w:lvl w:ilvl="0" w:tentative="0">
      <w:start w:val="1"/>
      <w:numFmt w:val="decimal"/>
      <w:suff w:val="nothing"/>
      <w:lvlText w:val="%1、"/>
      <w:lvlJc w:val="left"/>
      <w:rPr>
        <w:rFonts w:hint="default" w:ascii="宋体" w:hAnsi="宋体" w:eastAsia="宋体" w:cs="宋体"/>
        <w:b w:val="0"/>
        <w:bCs w:val="0"/>
      </w:rPr>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C50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keepLines/>
      <w:spacing w:before="260" w:after="260" w:line="413" w:lineRule="auto"/>
      <w:jc w:val="left"/>
      <w:outlineLvl w:val="1"/>
    </w:pPr>
    <w:rPr>
      <w:rFonts w:ascii="Arial" w:hAnsi="Arial" w:eastAsia="宋体"/>
      <w:b/>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_Style 3"/>
    <w:basedOn w:val="1"/>
    <w:next w:val="3"/>
    <w:qFormat/>
    <w:uiPriority w:val="0"/>
    <w:pPr>
      <w:autoSpaceDE w:val="0"/>
      <w:autoSpaceDN w:val="0"/>
      <w:adjustRightInd w:val="0"/>
      <w:spacing w:line="480" w:lineRule="exact"/>
      <w:ind w:firstLine="560"/>
      <w:jc w:val="left"/>
    </w:pPr>
    <w:rPr>
      <w:rFonts w:ascii="宋体" w:hAnsi="宋体"/>
      <w:color w:val="000000"/>
      <w:kern w:val="0"/>
      <w:sz w:val="28"/>
      <w:szCs w:val="20"/>
    </w:rPr>
  </w:style>
  <w:style w:type="paragraph" w:styleId="3">
    <w:name w:val="Body Text Indent 3"/>
    <w:basedOn w:val="1"/>
    <w:qFormat/>
    <w:uiPriority w:val="0"/>
    <w:pPr>
      <w:spacing w:after="120"/>
      <w:ind w:left="420" w:leftChars="200"/>
    </w:pPr>
    <w:rPr>
      <w:sz w:val="16"/>
      <w:szCs w:val="16"/>
    </w:rPr>
  </w:style>
  <w:style w:type="paragraph" w:styleId="5">
    <w:name w:val="annotation text"/>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2026-08-19T01:01:44Z</dcterms:created>
  <dc:creator>Administrator</dc:creator>
  <cp:lastModifiedBy>山海</cp:lastModifiedBy>
  <dcterms:modified xsi:type="dcterms:W3CDTF">2026-08-19T01:50:19Z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eyJoZGlkIjoiYWZhZmZmZGVlNmFiNDA1MjJjNzgzZjYyMjg3ZmMyYTkiLCJ1c2VySWQiOiI0NDI2NDc2MjIifQ==</vt:lpwstr>
  </property>
  <property fmtid="{D5CDD505-2E9C-101B-9397-08002B2CF9AE}" pid="4" name="ICV">
    <vt:lpwstr>2674CE9D8ACE4728BD378239A4975F23_12</vt:lpwstr>
  </property>
</Properties>
</file>