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A537C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hint="eastAsia" w:ascii="Arial" w:hAnsi="Arial" w:eastAsia="等线" w:cs="Arial"/>
          <w:b/>
          <w:sz w:val="52"/>
          <w:lang w:val="en-US" w:eastAsia="zh-CN"/>
        </w:rPr>
        <w:t>湛江市第一</w:t>
      </w:r>
      <w:r>
        <w:rPr>
          <w:rFonts w:ascii="Arial" w:hAnsi="Arial" w:eastAsia="等线" w:cs="Arial"/>
          <w:b/>
          <w:sz w:val="52"/>
        </w:rPr>
        <w:t>医院</w:t>
      </w:r>
    </w:p>
    <w:p w14:paraId="589F311B">
      <w:pPr>
        <w:spacing w:before="480" w:after="480" w:line="288" w:lineRule="auto"/>
        <w:ind w:left="0"/>
        <w:jc w:val="center"/>
        <w:rPr>
          <w:rFonts w:hint="eastAsia" w:eastAsia="等线"/>
          <w:lang w:eastAsia="zh-CN"/>
        </w:rPr>
      </w:pPr>
      <w:r>
        <w:rPr>
          <w:rFonts w:ascii="Arial" w:hAnsi="Arial" w:eastAsia="等线" w:cs="Arial"/>
          <w:b/>
          <w:sz w:val="52"/>
        </w:rPr>
        <w:t>信息系统（HIS）安全风险评估及合规性检测服务市场调研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需求</w:t>
      </w:r>
      <w:bookmarkStart w:id="11" w:name="_GoBack"/>
      <w:bookmarkEnd w:id="11"/>
    </w:p>
    <w:p w14:paraId="7E682557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一、调研概况</w:t>
      </w:r>
      <w:bookmarkEnd w:id="0"/>
    </w:p>
    <w:p w14:paraId="52F42F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1. 调研项目</w:t>
      </w:r>
      <w:r>
        <w:rPr>
          <w:rFonts w:ascii="Arial" w:hAnsi="Arial" w:eastAsia="等线" w:cs="Arial"/>
          <w:sz w:val="22"/>
        </w:rPr>
        <w:t>：医院HIS系统安全风险评估、漏洞检测及合规性专项检测服务</w:t>
      </w:r>
    </w:p>
    <w:p w14:paraId="5B028D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2. 调研目的</w:t>
      </w:r>
      <w:r>
        <w:rPr>
          <w:rFonts w:ascii="Arial" w:hAnsi="Arial" w:eastAsia="等线" w:cs="Arial"/>
          <w:sz w:val="22"/>
        </w:rPr>
        <w:t>：摸排市场成熟的HIS系统安全测评、风险排查、合规整改服务能力，掌握主流服务商技术方案、服务价格、实施周期及行业案例，为院内项目立项、预算申报、招标参数制定提供依据，全面整改HIS系统安全隐患，保障系统持续稳定运行，满足各级主管部门网络安全与数据合规监管要求。</w:t>
      </w:r>
    </w:p>
    <w:p w14:paraId="17562F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3. 服务范围（明确边界）</w:t>
      </w:r>
      <w:r>
        <w:rPr>
          <w:rFonts w:ascii="Arial" w:hAnsi="Arial" w:eastAsia="等线" w:cs="Arial"/>
          <w:sz w:val="22"/>
        </w:rPr>
        <w:t>：服务对象为医院三级等保HIS核心信息系统，覆盖门诊、住院、医嘱、收费结算、患者隐私信息、医护账号权限、药品耗材管理等全业务模块；测评边界包含系统物理环境、网络边界、服务器主机、数据库、中间件、Web应用、业务接口、终端运维、数据传输存储全环节。同步兼容检测HIS与EMR、LIS、PACS、院内集成平台、第三方对接系统的数据交互安全。</w:t>
      </w:r>
    </w:p>
    <w:p w14:paraId="5C4C03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4. 适用场景</w:t>
      </w:r>
      <w:r>
        <w:rPr>
          <w:rFonts w:ascii="Arial" w:hAnsi="Arial" w:eastAsia="等线" w:cs="Arial"/>
          <w:sz w:val="22"/>
        </w:rPr>
        <w:t>：年度常态化安全风险评估、网络安全等级保护三级年度复测、医疗数据合规自查、商用密码应用安全性评估、网络安全专项排查、重大活动安保测评、安全整改闭环验收。</w:t>
      </w:r>
    </w:p>
    <w:p w14:paraId="171A6915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二、合规依据</w:t>
      </w:r>
      <w:bookmarkEnd w:id="1"/>
    </w:p>
    <w:p w14:paraId="6BE18E9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次所有测评、评估、整改服务须严格遵循国家法律法规、国标及医疗行业专项规范，全部交付成果满足以下标准核查要求：《中华人民共和国网络安全法》《中华人民共和国数据安全法》《中华人民共和国个人信息保护法》《中华人民共和国密码法》《网络数据安全风险评估办法》《医疗卫生机构网络安全管理指南》；GB/T 22239-2019《信息安全技术 网络安全等级保护基本要求（三级）》、GB/T 39786-2021《信息安全技术 信息系统密码应用基本要求》等相关国家及行业标准。</w:t>
      </w:r>
    </w:p>
    <w:p w14:paraId="0B6C4B0B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三、核心服务需求</w:t>
      </w:r>
      <w:bookmarkEnd w:id="2"/>
    </w:p>
    <w:p w14:paraId="1E8AE36D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（一）安全风险评估</w:t>
      </w:r>
      <w:bookmarkEnd w:id="3"/>
    </w:p>
    <w:p w14:paraId="33786EA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开展HIS系统全维度、业务场景化安全检测与风险研判，形成完整风险闭环管理，核心服务内容包含：全量信息资产梳理与台账建立、网络边界及主机漏洞扫描、数据库与中间件安全检测、Web应用及跨系统接口安全检测、弱口令、越权访问、权限溢出、非法访问风险排查、账号生命周期与运维操作风险评估、患者隐私数据、诊疗数据、收费医保数据全流程安全风险核查、数据分类分级与重要数据风险识别、系统容灾备份与业务连续性风险核查。对所有风险进行高、中、低危分级定级，明确风险成因、影响范围、危害等级，出具分优先级、可落地、不影响医疗业务运行的整改优化方案，并提供全程整改指导及复测验证服务。</w:t>
      </w:r>
    </w:p>
    <w:p w14:paraId="74716E92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（二）合规性专项检测</w:t>
      </w:r>
      <w:bookmarkEnd w:id="4"/>
    </w:p>
    <w:p w14:paraId="075DC7A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1. 等保合规检测</w:t>
      </w:r>
      <w:r>
        <w:rPr>
          <w:rFonts w:ascii="Arial" w:hAnsi="Arial" w:eastAsia="等线" w:cs="Arial"/>
          <w:sz w:val="22"/>
        </w:rPr>
        <w:t>：严格按照等保2.0三级标准，完成物理、网络、主机、应用、数据、安全管理全维度合规测评，梳理问题清单、出具合规测评报告，全程协助医院完成资料备案、问题整改、复测验收、年度年审备查工作。</w:t>
      </w:r>
    </w:p>
    <w:p w14:paraId="404BF2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2. 数据合规检测</w:t>
      </w:r>
      <w:r>
        <w:rPr>
          <w:rFonts w:ascii="Arial" w:hAnsi="Arial" w:eastAsia="等线" w:cs="Arial"/>
          <w:sz w:val="22"/>
        </w:rPr>
        <w:t>：对照数安法、个保法及医疗数据管理规范，完成医疗重要数据识别、数据目录梳理、数据分类分级核查，检测数据采集、存储、加密、脱敏、审计、共享、销毁全流程合规性，排查数据过度采集、明文存储、违规传输、越权查阅等问题，出具标准化医疗数据合规自查报告。</w:t>
      </w:r>
    </w:p>
    <w:p w14:paraId="185D88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3. 密码合规检测</w:t>
      </w:r>
      <w:r>
        <w:rPr>
          <w:rFonts w:ascii="Arial" w:hAnsi="Arial" w:eastAsia="等线" w:cs="Arial"/>
          <w:sz w:val="22"/>
        </w:rPr>
        <w:t>：全面核查HIS系统身份认证、会话管理、数据传输、数据存储、接口交互、日志留存等环节密码算法、密码产品应用合规性，完成完整的商用密码应用安全性评估，出具合规评估报告，满足国密标准及密码法监管要求。</w:t>
      </w:r>
    </w:p>
    <w:p w14:paraId="7593EF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4. 行业合规核查</w:t>
      </w:r>
      <w:r>
        <w:rPr>
          <w:rFonts w:ascii="Arial" w:hAnsi="Arial" w:eastAsia="等线" w:cs="Arial"/>
          <w:sz w:val="22"/>
        </w:rPr>
        <w:t>：对照卫健部门医疗网络安全管理要求，梳理、修订、优化医院安全管理制度、运维操作流程、权限管控规范、应急处置预案，完善安全管理体系台账，满足行业专项检查要求。</w:t>
      </w:r>
    </w:p>
    <w:p w14:paraId="21ABBDFE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（三）配套增值服务</w:t>
      </w:r>
      <w:bookmarkEnd w:id="5"/>
    </w:p>
    <w:p w14:paraId="3C57E81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全程提供漏洞整改落地指导、安全管理制度体系搭建、医护及运维人员专项安全培训、网络安全应急演练、常态化安全巡检、合规备案资料协助申报、整改后免费复测、问题闭环验收、迎检答疑支撑等全套配套服务。</w:t>
      </w:r>
    </w:p>
    <w:p w14:paraId="4C06B561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四、供应商资质与能力要求</w:t>
      </w:r>
      <w:bookmarkEnd w:id="6"/>
    </w:p>
    <w:p w14:paraId="1FC353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供应商为合法独立法人，无失信被执行人、无行业行政处罚、无网络安全违法违规记录。项目最终备案报告须由具备</w:t>
      </w:r>
      <w:r>
        <w:rPr>
          <w:rFonts w:ascii="Arial" w:hAnsi="Arial" w:eastAsia="等线" w:cs="Arial"/>
          <w:b/>
          <w:sz w:val="22"/>
        </w:rPr>
        <w:t>有效网络安全等级保护测评资质、商用密码应用安全性评估资质</w:t>
      </w:r>
      <w:r>
        <w:rPr>
          <w:rFonts w:ascii="Arial" w:hAnsi="Arial" w:eastAsia="等线" w:cs="Arial"/>
          <w:sz w:val="22"/>
        </w:rPr>
        <w:t>的官方持证机构出具（可提供资质合作/联合体服务模式，须提供合作协议及资质佐证），确保报告合法合规、可备案、可年审、可通过主管部门抽查。</w:t>
      </w:r>
    </w:p>
    <w:p w14:paraId="7B6A3A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项目核心实施团队人员稳定，持有等保测评师、CISP、商用密码测评等权威专业证书，具备丰富医疗行业测评经验，熟悉医院HIS、EMR等医疗信息系统业务架构与合规要求。</w:t>
      </w:r>
    </w:p>
    <w:p w14:paraId="5BA59E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近3年内具备二级及以上公立医院HIS系统等保测评、商密评估、数据安全风险评估成功案例，可提供合同、报告、验收证明等佐证材料。</w:t>
      </w:r>
    </w:p>
    <w:p w14:paraId="047CCF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支持本地化现场勘查、现场检测、现场整改指导服务，具备7×24小时应急响应能力，售后响应及时、服务体系完善。</w:t>
      </w:r>
    </w:p>
    <w:p w14:paraId="4F08FB34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五、交付成果硬性要求</w:t>
      </w:r>
      <w:bookmarkEnd w:id="7"/>
    </w:p>
    <w:p w14:paraId="21A1655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服务商须完整提供以下全套正式、合规、可审计、可用于主管部门检查及备案验收的</w:t>
      </w:r>
      <w:r>
        <w:rPr>
          <w:rFonts w:ascii="Arial" w:hAnsi="Arial" w:eastAsia="等线" w:cs="Arial"/>
          <w:b/>
          <w:sz w:val="22"/>
        </w:rPr>
        <w:t>纸质盖章版+电子盖章版</w:t>
      </w:r>
      <w:r>
        <w:rPr>
          <w:rFonts w:ascii="Arial" w:hAnsi="Arial" w:eastAsia="等线" w:cs="Arial"/>
          <w:sz w:val="22"/>
        </w:rPr>
        <w:t>交付资料，所有报告须贴合医院真实HIS业务现状，杜绝模板化空泛内容，全程支持整改复测、溯源验收、迎检答疑，具体清单如下：</w:t>
      </w:r>
    </w:p>
    <w:p w14:paraId="5692C9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（一）安全风险评估类交付资料</w:t>
      </w:r>
    </w:p>
    <w:p w14:paraId="5D714F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医院HIS信息系统全量资产梳理报告及安全现状调研报告；</w:t>
      </w:r>
    </w:p>
    <w:p w14:paraId="584723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HIS系统全维度漏洞检测报告（含主机、数据库、中间件、Web应用、业务接口、账号权限、运维终端等全部漏洞检测结果）；</w:t>
      </w:r>
    </w:p>
    <w:p w14:paraId="66F0F65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HIS系统安全风险评估报告（含风险识别、分级定级、危害分析、影响范围、成因研判）；</w:t>
      </w:r>
    </w:p>
    <w:p w14:paraId="08F19C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分优先级、可落地的专项安全风险整改方案（适配医疗业务、不影响正常诊疗工作）；</w:t>
      </w:r>
    </w:p>
    <w:p w14:paraId="02B3F1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问题整改复测验证报告及闭环验收佐证资料。</w:t>
      </w:r>
    </w:p>
    <w:p w14:paraId="6F0852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（二）合规性专项检测正式备案报告</w:t>
      </w:r>
    </w:p>
    <w:p w14:paraId="5B39AF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网络安全等级保护三级正式测评报告、问题整改清单、复测验收报告（支持等保备案、年度年审、公安网安及卫健检查）；</w:t>
      </w:r>
    </w:p>
    <w:p w14:paraId="6ED86F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商用密码应用安全性评估正式报告（符合GB/T 39786-2021标准，可用于密码合规自查及监管抽查）；</w:t>
      </w:r>
    </w:p>
    <w:p w14:paraId="660152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医疗数据安全合规自查报告（贴合数安法、个保法及卫健规范，覆盖患者隐私、诊疗、收费、医保数据全流程合规核查）。</w:t>
      </w:r>
    </w:p>
    <w:p w14:paraId="071DEB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（三）安全管理配套交付资料</w:t>
      </w:r>
    </w:p>
    <w:p w14:paraId="26E047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医院网络安全、数据安全管理制度、运维操作规范、账号权限管理制度、应急处置预案体系优化全套文档；</w:t>
      </w:r>
    </w:p>
    <w:p w14:paraId="7572F3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全量风险问题整改台账、现场整改指导记录、问题闭环验收全套资料。</w:t>
      </w:r>
    </w:p>
    <w:p w14:paraId="15EA48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（四）交付硬性标准与兜底条款</w:t>
      </w:r>
    </w:p>
    <w:p w14:paraId="6384F1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所有交付成果真实有效、结论清晰、盖章齐全，具备合法合规效力，可直接用于院内审计、卫健、网信、公安网安等主管部门检查备案。若因报告不合规、无效、无法通过年审或抽查，服务商须</w:t>
      </w:r>
      <w:r>
        <w:rPr>
          <w:rFonts w:ascii="Arial" w:hAnsi="Arial" w:eastAsia="等线" w:cs="Arial"/>
          <w:b/>
          <w:sz w:val="22"/>
        </w:rPr>
        <w:t>免费重新测评、免费整改、免费出具合规报告</w:t>
      </w:r>
      <w:r>
        <w:rPr>
          <w:rFonts w:ascii="Arial" w:hAnsi="Arial" w:eastAsia="等线" w:cs="Arial"/>
          <w:sz w:val="22"/>
        </w:rPr>
        <w:t>，承担全部相关责任，全程配合院内资料补充、答疑及验收工作。</w:t>
      </w:r>
    </w:p>
    <w:p w14:paraId="00D4460A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六、商务及资料报送要求</w:t>
      </w:r>
      <w:bookmarkEnd w:id="8"/>
    </w:p>
    <w:p w14:paraId="0D9EBE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明确项目完整实施工期、现场服务时长、分项服务明细报价、年度包干服务报价、复测服务收费标准、增值服务明细、售后保障服务期限、应急响应时效。</w:t>
      </w:r>
    </w:p>
    <w:p w14:paraId="1DAFE1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供应商须完整报送：企业营业执照、相关资质证书、核心团队人员证书、近三年二级及以上医院同类服务案例、完整技术服务方案、详细报价清单、项目实施计划、交付成果模板、售后保障及整改闭环方案。</w:t>
      </w:r>
    </w:p>
    <w:p w14:paraId="22C906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须填写《市场调研报价方案调查表》，提供</w:t>
      </w:r>
      <w:r>
        <w:rPr>
          <w:rFonts w:ascii="Arial" w:hAnsi="Arial" w:eastAsia="等线" w:cs="Arial"/>
          <w:b/>
          <w:sz w:val="22"/>
        </w:rPr>
        <w:t>可编辑电子版</w:t>
      </w:r>
      <w:r>
        <w:rPr>
          <w:rFonts w:ascii="Arial" w:hAnsi="Arial" w:eastAsia="等线" w:cs="Arial"/>
          <w:sz w:val="22"/>
        </w:rPr>
        <w:t>。</w:t>
      </w:r>
    </w:p>
    <w:p w14:paraId="480923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4. 材料报送格式要求</w:t>
      </w:r>
      <w:r>
        <w:rPr>
          <w:rFonts w:ascii="Arial" w:hAnsi="Arial" w:eastAsia="等线" w:cs="Arial"/>
          <w:sz w:val="22"/>
        </w:rPr>
        <w:t>：所有报送材料加盖企业公章，按本公告顺序扫描合并为一个PDF文件，同时报送一份可编辑Word电子版文件；邮件主题统一命名格式：【HIS系统安全风险评估及合规检测服务】+公司名称，发送至指定邮箱。</w:t>
      </w:r>
    </w:p>
    <w:p w14:paraId="5EF33B81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七、提交材料时间及咨询方式</w:t>
      </w:r>
      <w:bookmarkEnd w:id="9"/>
    </w:p>
    <w:p w14:paraId="6A509D36">
      <w:pPr>
        <w:spacing w:line="360" w:lineRule="auto"/>
        <w:ind w:firstLine="440" w:firstLineChars="200"/>
        <w:rPr>
          <w:rFonts w:hint="eastAsia" w:ascii="等线" w:hAnsi="等线" w:eastAsia="等线" w:cs="等线"/>
          <w:sz w:val="22"/>
          <w:szCs w:val="22"/>
        </w:rPr>
      </w:pPr>
      <w:bookmarkStart w:id="10" w:name="heading_10"/>
      <w:r>
        <w:rPr>
          <w:rFonts w:hint="eastAsia" w:ascii="等线" w:hAnsi="等线" w:eastAsia="等线" w:cs="等线"/>
          <w:sz w:val="22"/>
          <w:szCs w:val="22"/>
        </w:rPr>
        <w:t>（一）时间：2026年9月23日到2026年9月30日（上午8:00～12:00，下午14:30～17:30，周末、节假日除外）。</w:t>
      </w:r>
    </w:p>
    <w:p w14:paraId="6E8DD47C">
      <w:pPr>
        <w:spacing w:line="360" w:lineRule="auto"/>
        <w:ind w:firstLine="440" w:firstLineChars="200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sz w:val="22"/>
          <w:szCs w:val="22"/>
        </w:rPr>
        <w:t>（二）截止时间：2026年9月30日</w:t>
      </w:r>
    </w:p>
    <w:p w14:paraId="5A5DBD65">
      <w:pPr>
        <w:spacing w:line="360" w:lineRule="auto"/>
        <w:ind w:firstLine="440" w:firstLineChars="200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sz w:val="22"/>
          <w:szCs w:val="22"/>
        </w:rPr>
        <w:t>（三）咨询方式：湛江市第一中医医院</w:t>
      </w:r>
    </w:p>
    <w:p w14:paraId="2BBB19A2">
      <w:pPr>
        <w:spacing w:line="360" w:lineRule="auto"/>
        <w:ind w:firstLine="440" w:firstLineChars="200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sz w:val="22"/>
          <w:szCs w:val="22"/>
        </w:rPr>
        <w:t>联系人：信息科 周先生 联系电话：0759--3279927</w:t>
      </w:r>
    </w:p>
    <w:p w14:paraId="3FFC4C54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八、特别说明</w:t>
      </w:r>
      <w:bookmarkEnd w:id="10"/>
    </w:p>
    <w:p w14:paraId="0619E96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公告仅为项目市场调研，不作为招标、采购、签约依据，我院对各供应商报送的方案、资料不做任何录用、采购承诺，不承担任何前期费用及相关责任。供应商所报送资料须真实有效，一经发现弄虚作假，直接取消参选资格。</w:t>
      </w:r>
    </w:p>
    <w:p w14:paraId="2B618B2E">
      <w:pPr>
        <w:spacing w:before="120" w:after="120" w:line="288" w:lineRule="auto"/>
        <w:ind w:left="0"/>
        <w:jc w:val="left"/>
      </w:pPr>
    </w:p>
    <w:sectPr>
      <w:footerReference r:id="rId3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649F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C0B656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0B656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440E5"/>
    <w:rsid w:val="04A9438D"/>
    <w:rsid w:val="0E227294"/>
    <w:rsid w:val="0FC42320"/>
    <w:rsid w:val="17ED175C"/>
    <w:rsid w:val="4A236EB1"/>
    <w:rsid w:val="53B27FDC"/>
    <w:rsid w:val="6A9B2B23"/>
    <w:rsid w:val="79EA06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2026-09-18T02:54:00Z</dcterms:created>
  <dc:creator>Apache POI</dc:creator>
  <cp:lastModifiedBy>Administrator</cp:lastModifiedBy>
  <cp:lastPrinted>2026-09-18T03:42:22Z</cp:lastPrinted>
  <dcterms:modified xsi:type="dcterms:W3CDTF">2026-09-18T03:43:13Z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{"Label":"1","ContentProducer":"001191110102MACQD9K64010000","ProduceID":"7686703286054357994","ReservedCode1":"","ContentPropagator":"","PropagateID":"","ReservedCode2":""}</vt:lpwstr>
  </property>
  <property fmtid="{D5CDD505-2E9C-101B-9397-08002B2CF9AE}" pid="3" name="KSOProductBuildVer">
    <vt:lpwstr>2052-12.1.0.23542</vt:lpwstr>
  </property>
  <property fmtid="{D5CDD505-2E9C-101B-9397-08002B2CF9AE}" pid="4" name="ICV">
    <vt:lpwstr>22CB928152E942BEB69AE6997D255509_13</vt:lpwstr>
  </property>
</Properties>
</file>